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BE96" w14:textId="77777777" w:rsidR="001E384C" w:rsidRDefault="00000000">
      <w:pPr>
        <w:spacing w:before="440" w:after="320" w:line="360" w:lineRule="auto"/>
        <w:jc w:val="center"/>
      </w:pPr>
      <w:r>
        <w:rPr>
          <w:noProof/>
        </w:rPr>
        <w:drawing>
          <wp:inline distT="0" distB="0" distL="0" distR="0" wp14:anchorId="1378B0E7" wp14:editId="18275015">
            <wp:extent cx="3238500" cy="2286000"/>
            <wp:effectExtent l="0" t="0" r="0" b="0"/>
            <wp:docPr id="1" name="AUILogo" descr="AUI Logo" title="AU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238500" cy="2286000"/>
                    </a:xfrm>
                    <a:prstGeom prst="rect">
                      <a:avLst/>
                    </a:prstGeom>
                  </pic:spPr>
                </pic:pic>
              </a:graphicData>
            </a:graphic>
          </wp:inline>
        </w:drawing>
      </w:r>
    </w:p>
    <w:p w14:paraId="744B511D" w14:textId="77777777" w:rsidR="001E384C" w:rsidRDefault="001E384C">
      <w:pPr>
        <w:shd w:val="clear" w:color="auto" w:fill="4A7C59"/>
        <w:spacing w:after="40" w:line="360" w:lineRule="auto"/>
        <w:jc w:val="center"/>
      </w:pPr>
    </w:p>
    <w:p w14:paraId="0873B076" w14:textId="77777777" w:rsidR="001E384C" w:rsidRDefault="00000000">
      <w:pPr>
        <w:spacing w:before="200" w:line="360" w:lineRule="auto"/>
        <w:jc w:val="center"/>
      </w:pPr>
      <w:r>
        <w:rPr>
          <w:rFonts w:ascii="Palatino Linotype" w:eastAsia="Palatino Linotype" w:hAnsi="Palatino Linotype" w:cs="Palatino Linotype"/>
          <w:b/>
          <w:bCs/>
          <w:color w:val="1A3D2B"/>
          <w:spacing w:val="60"/>
          <w:sz w:val="48"/>
          <w:szCs w:val="48"/>
        </w:rPr>
        <w:t>UNIVERSITY HONORS PROGRAM</w:t>
      </w:r>
    </w:p>
    <w:p w14:paraId="59455A22" w14:textId="77777777" w:rsidR="001E384C" w:rsidRDefault="00000000">
      <w:pPr>
        <w:spacing w:before="60" w:line="360" w:lineRule="auto"/>
        <w:jc w:val="center"/>
      </w:pPr>
      <w:r>
        <w:rPr>
          <w:rFonts w:ascii="Palatino Linotype" w:eastAsia="Palatino Linotype" w:hAnsi="Palatino Linotype" w:cs="Palatino Linotype"/>
          <w:color w:val="2D6A4F"/>
          <w:sz w:val="30"/>
          <w:szCs w:val="30"/>
        </w:rPr>
        <w:t>Handbook of Policies and Regulations</w:t>
      </w:r>
    </w:p>
    <w:p w14:paraId="549FBE31" w14:textId="7849C93D" w:rsidR="001E384C" w:rsidRDefault="00000000">
      <w:pPr>
        <w:spacing w:before="40" w:line="360" w:lineRule="auto"/>
        <w:jc w:val="center"/>
      </w:pPr>
      <w:r>
        <w:rPr>
          <w:rFonts w:ascii="Palatino Linotype" w:eastAsia="Palatino Linotype" w:hAnsi="Palatino Linotype" w:cs="Palatino Linotype"/>
          <w:i/>
          <w:iCs/>
          <w:color w:val="4A5568"/>
          <w:sz w:val="22"/>
          <w:szCs w:val="22"/>
        </w:rPr>
        <w:t xml:space="preserve">Updated </w:t>
      </w:r>
      <w:r w:rsidR="00D2293B">
        <w:rPr>
          <w:rFonts w:ascii="Palatino Linotype" w:eastAsia="Palatino Linotype" w:hAnsi="Palatino Linotype" w:cs="Palatino Linotype"/>
          <w:i/>
          <w:iCs/>
          <w:color w:val="4A5568"/>
          <w:sz w:val="22"/>
          <w:szCs w:val="22"/>
        </w:rPr>
        <w:t>Spring</w:t>
      </w:r>
      <w:r>
        <w:rPr>
          <w:rFonts w:ascii="Palatino Linotype" w:eastAsia="Palatino Linotype" w:hAnsi="Palatino Linotype" w:cs="Palatino Linotype"/>
          <w:i/>
          <w:iCs/>
          <w:color w:val="4A5568"/>
          <w:sz w:val="22"/>
          <w:szCs w:val="22"/>
        </w:rPr>
        <w:t xml:space="preserve"> 202</w:t>
      </w:r>
      <w:r w:rsidR="00D2293B">
        <w:rPr>
          <w:rFonts w:ascii="Palatino Linotype" w:eastAsia="Palatino Linotype" w:hAnsi="Palatino Linotype" w:cs="Palatino Linotype"/>
          <w:i/>
          <w:iCs/>
          <w:color w:val="4A5568"/>
          <w:sz w:val="22"/>
          <w:szCs w:val="22"/>
        </w:rPr>
        <w:t>6</w:t>
      </w:r>
    </w:p>
    <w:p w14:paraId="0F50309A" w14:textId="77777777" w:rsidR="001E384C" w:rsidRDefault="00000000">
      <w:pPr>
        <w:shd w:val="clear" w:color="auto" w:fill="1A3D2B"/>
        <w:spacing w:before="600" w:line="360" w:lineRule="auto"/>
        <w:jc w:val="center"/>
      </w:pPr>
      <w:r>
        <w:rPr>
          <w:rFonts w:ascii="Palatino Linotype" w:eastAsia="Palatino Linotype" w:hAnsi="Palatino Linotype" w:cs="Palatino Linotype"/>
          <w:color w:val="FFFFFF"/>
          <w:sz w:val="18"/>
          <w:szCs w:val="18"/>
        </w:rPr>
        <w:t>Al Akhawayn University in Ifrane  •  uhp@aui.ma  •  aui.ma/honors-program</w:t>
      </w:r>
    </w:p>
    <w:p w14:paraId="12652C69" w14:textId="77777777" w:rsidR="001E384C" w:rsidRDefault="001E384C">
      <w:pPr>
        <w:sectPr w:rsidR="001E384C">
          <w:pgSz w:w="12240" w:h="15840"/>
          <w:pgMar w:top="720" w:right="1080" w:bottom="720" w:left="1080" w:header="708" w:footer="708" w:gutter="0"/>
          <w:cols w:space="720"/>
          <w:docGrid w:linePitch="360"/>
        </w:sectPr>
      </w:pPr>
    </w:p>
    <w:p w14:paraId="4E656EEB" w14:textId="77777777" w:rsidR="001E384C" w:rsidRDefault="00000000">
      <w:pPr>
        <w:shd w:val="clear" w:color="auto" w:fill="1A3D2B"/>
        <w:spacing w:after="200" w:line="360" w:lineRule="auto"/>
      </w:pPr>
      <w:r>
        <w:rPr>
          <w:rFonts w:ascii="Palatino Linotype" w:eastAsia="Palatino Linotype" w:hAnsi="Palatino Linotype" w:cs="Palatino Linotype"/>
          <w:b/>
          <w:bCs/>
          <w:caps/>
          <w:color w:val="FFFFFF"/>
          <w:spacing w:val="80"/>
          <w:sz w:val="28"/>
          <w:szCs w:val="28"/>
        </w:rPr>
        <w:lastRenderedPageBreak/>
        <w:t>TABLE OF CONTENTS</w:t>
      </w:r>
    </w:p>
    <w:p w14:paraId="245CFEBF" w14:textId="77777777" w:rsidR="001E384C" w:rsidRDefault="001E384C">
      <w:pPr>
        <w:spacing w:before="80" w:line="360" w:lineRule="auto"/>
      </w:pPr>
    </w:p>
    <w:p w14:paraId="1EA5A2E8" w14:textId="77777777" w:rsidR="001E384C" w:rsidRDefault="00000000">
      <w:pPr>
        <w:tabs>
          <w:tab w:val="right" w:leader="dot" w:pos="8640"/>
        </w:tabs>
        <w:spacing w:after="80" w:line="360" w:lineRule="auto"/>
      </w:pPr>
      <w:r>
        <w:rPr>
          <w:rFonts w:ascii="Palatino Linotype" w:eastAsia="Palatino Linotype" w:hAnsi="Palatino Linotype" w:cs="Palatino Linotype"/>
          <w:b/>
          <w:bCs/>
          <w:color w:val="1A3D2B"/>
          <w:sz w:val="22"/>
          <w:szCs w:val="22"/>
        </w:rPr>
        <w:t>I.  Overview of the University Honors Program</w:t>
      </w:r>
      <w:r>
        <w:rPr>
          <w:rFonts w:ascii="Palatino Linotype" w:eastAsia="Palatino Linotype" w:hAnsi="Palatino Linotype" w:cs="Palatino Linotype"/>
          <w:b/>
          <w:bCs/>
          <w:color w:val="4A5568"/>
          <w:sz w:val="22"/>
          <w:szCs w:val="22"/>
        </w:rPr>
        <w:tab/>
        <w:t>3</w:t>
      </w:r>
    </w:p>
    <w:p w14:paraId="536756A0"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Introduction</w:t>
      </w:r>
      <w:r>
        <w:rPr>
          <w:rFonts w:ascii="Palatino Linotype" w:eastAsia="Palatino Linotype" w:hAnsi="Palatino Linotype" w:cs="Palatino Linotype"/>
          <w:color w:val="4A5568"/>
          <w:sz w:val="22"/>
          <w:szCs w:val="22"/>
        </w:rPr>
        <w:tab/>
        <w:t>3</w:t>
      </w:r>
    </w:p>
    <w:p w14:paraId="3E7328BE"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Mission</w:t>
      </w:r>
      <w:r>
        <w:rPr>
          <w:rFonts w:ascii="Palatino Linotype" w:eastAsia="Palatino Linotype" w:hAnsi="Palatino Linotype" w:cs="Palatino Linotype"/>
          <w:color w:val="4A5568"/>
          <w:sz w:val="22"/>
          <w:szCs w:val="22"/>
        </w:rPr>
        <w:tab/>
        <w:t>3</w:t>
      </w:r>
    </w:p>
    <w:p w14:paraId="62EEDB16"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Values and Learning Outcomes</w:t>
      </w:r>
      <w:r>
        <w:rPr>
          <w:rFonts w:ascii="Palatino Linotype" w:eastAsia="Palatino Linotype" w:hAnsi="Palatino Linotype" w:cs="Palatino Linotype"/>
          <w:color w:val="4A5568"/>
          <w:sz w:val="22"/>
          <w:szCs w:val="22"/>
        </w:rPr>
        <w:tab/>
        <w:t>4</w:t>
      </w:r>
    </w:p>
    <w:p w14:paraId="0057C193"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Bridging Theory and Practice</w:t>
      </w:r>
      <w:r>
        <w:rPr>
          <w:rFonts w:ascii="Palatino Linotype" w:eastAsia="Palatino Linotype" w:hAnsi="Palatino Linotype" w:cs="Palatino Linotype"/>
          <w:color w:val="4A5568"/>
          <w:sz w:val="22"/>
          <w:szCs w:val="22"/>
        </w:rPr>
        <w:tab/>
        <w:t>4</w:t>
      </w:r>
    </w:p>
    <w:p w14:paraId="41A9CB11"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Benefits and Privileges</w:t>
      </w:r>
      <w:r>
        <w:rPr>
          <w:rFonts w:ascii="Palatino Linotype" w:eastAsia="Palatino Linotype" w:hAnsi="Palatino Linotype" w:cs="Palatino Linotype"/>
          <w:color w:val="4A5568"/>
          <w:sz w:val="22"/>
          <w:szCs w:val="22"/>
        </w:rPr>
        <w:tab/>
        <w:t>4</w:t>
      </w:r>
    </w:p>
    <w:p w14:paraId="29E01A87"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Contact Information</w:t>
      </w:r>
      <w:r>
        <w:rPr>
          <w:rFonts w:ascii="Palatino Linotype" w:eastAsia="Palatino Linotype" w:hAnsi="Palatino Linotype" w:cs="Palatino Linotype"/>
          <w:color w:val="4A5568"/>
          <w:sz w:val="22"/>
          <w:szCs w:val="22"/>
        </w:rPr>
        <w:tab/>
        <w:t>4</w:t>
      </w:r>
    </w:p>
    <w:p w14:paraId="15667C9F" w14:textId="77777777" w:rsidR="001E384C" w:rsidRDefault="001E384C">
      <w:pPr>
        <w:spacing w:before="60" w:line="360" w:lineRule="auto"/>
      </w:pPr>
    </w:p>
    <w:p w14:paraId="17C78F7E" w14:textId="77777777" w:rsidR="001E384C" w:rsidRDefault="00000000">
      <w:pPr>
        <w:tabs>
          <w:tab w:val="right" w:leader="dot" w:pos="8640"/>
        </w:tabs>
        <w:spacing w:after="80" w:line="360" w:lineRule="auto"/>
      </w:pPr>
      <w:r>
        <w:rPr>
          <w:rFonts w:ascii="Palatino Linotype" w:eastAsia="Palatino Linotype" w:hAnsi="Palatino Linotype" w:cs="Palatino Linotype"/>
          <w:b/>
          <w:bCs/>
          <w:color w:val="1A3D2B"/>
          <w:sz w:val="22"/>
          <w:szCs w:val="22"/>
        </w:rPr>
        <w:t>II.  UHP Organizational Structure</w:t>
      </w:r>
      <w:r>
        <w:rPr>
          <w:rFonts w:ascii="Palatino Linotype" w:eastAsia="Palatino Linotype" w:hAnsi="Palatino Linotype" w:cs="Palatino Linotype"/>
          <w:b/>
          <w:bCs/>
          <w:color w:val="4A5568"/>
          <w:sz w:val="22"/>
          <w:szCs w:val="22"/>
        </w:rPr>
        <w:tab/>
        <w:t>5</w:t>
      </w:r>
    </w:p>
    <w:p w14:paraId="5DD8A34C"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Committee</w:t>
      </w:r>
      <w:r>
        <w:rPr>
          <w:rFonts w:ascii="Palatino Linotype" w:eastAsia="Palatino Linotype" w:hAnsi="Palatino Linotype" w:cs="Palatino Linotype"/>
          <w:color w:val="4A5568"/>
          <w:sz w:val="22"/>
          <w:szCs w:val="22"/>
        </w:rPr>
        <w:tab/>
        <w:t>5</w:t>
      </w:r>
    </w:p>
    <w:p w14:paraId="4A7A19A7" w14:textId="77777777" w:rsidR="001E384C" w:rsidRDefault="001E384C">
      <w:pPr>
        <w:spacing w:before="60" w:line="360" w:lineRule="auto"/>
      </w:pPr>
    </w:p>
    <w:p w14:paraId="4936FE0C" w14:textId="77777777" w:rsidR="001E384C" w:rsidRDefault="00000000">
      <w:pPr>
        <w:tabs>
          <w:tab w:val="right" w:leader="dot" w:pos="8640"/>
        </w:tabs>
        <w:spacing w:after="80" w:line="360" w:lineRule="auto"/>
      </w:pPr>
      <w:r>
        <w:rPr>
          <w:rFonts w:ascii="Palatino Linotype" w:eastAsia="Palatino Linotype" w:hAnsi="Palatino Linotype" w:cs="Palatino Linotype"/>
          <w:b/>
          <w:bCs/>
          <w:color w:val="1A3D2B"/>
          <w:sz w:val="22"/>
          <w:szCs w:val="22"/>
        </w:rPr>
        <w:t>III.  Application and Enrollment Policies</w:t>
      </w:r>
      <w:r>
        <w:rPr>
          <w:rFonts w:ascii="Palatino Linotype" w:eastAsia="Palatino Linotype" w:hAnsi="Palatino Linotype" w:cs="Palatino Linotype"/>
          <w:b/>
          <w:bCs/>
          <w:color w:val="4A5568"/>
          <w:sz w:val="22"/>
          <w:szCs w:val="22"/>
        </w:rPr>
        <w:tab/>
        <w:t>6</w:t>
      </w:r>
    </w:p>
    <w:p w14:paraId="5DBCFF27"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Eligibility to Apply</w:t>
      </w:r>
      <w:r>
        <w:rPr>
          <w:rFonts w:ascii="Palatino Linotype" w:eastAsia="Palatino Linotype" w:hAnsi="Palatino Linotype" w:cs="Palatino Linotype"/>
          <w:color w:val="4A5568"/>
          <w:sz w:val="22"/>
          <w:szCs w:val="22"/>
        </w:rPr>
        <w:tab/>
        <w:t>6</w:t>
      </w:r>
    </w:p>
    <w:p w14:paraId="3695717B"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Application Documents</w:t>
      </w:r>
      <w:r>
        <w:rPr>
          <w:rFonts w:ascii="Palatino Linotype" w:eastAsia="Palatino Linotype" w:hAnsi="Palatino Linotype" w:cs="Palatino Linotype"/>
          <w:color w:val="4A5568"/>
          <w:sz w:val="22"/>
          <w:szCs w:val="22"/>
        </w:rPr>
        <w:tab/>
        <w:t>6</w:t>
      </w:r>
    </w:p>
    <w:p w14:paraId="1E2F4E42"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Application Procedures and Group Interview</w:t>
      </w:r>
      <w:r>
        <w:rPr>
          <w:rFonts w:ascii="Palatino Linotype" w:eastAsia="Palatino Linotype" w:hAnsi="Palatino Linotype" w:cs="Palatino Linotype"/>
          <w:color w:val="4A5568"/>
          <w:sz w:val="22"/>
          <w:szCs w:val="22"/>
        </w:rPr>
        <w:tab/>
        <w:t>7</w:t>
      </w:r>
    </w:p>
    <w:p w14:paraId="17D9F3E6"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Application Deadlines</w:t>
      </w:r>
      <w:r>
        <w:rPr>
          <w:rFonts w:ascii="Palatino Linotype" w:eastAsia="Palatino Linotype" w:hAnsi="Palatino Linotype" w:cs="Palatino Linotype"/>
          <w:color w:val="4A5568"/>
          <w:sz w:val="22"/>
          <w:szCs w:val="22"/>
        </w:rPr>
        <w:tab/>
        <w:t>7</w:t>
      </w:r>
    </w:p>
    <w:p w14:paraId="1F6E81B1" w14:textId="77777777" w:rsidR="001E384C" w:rsidRDefault="001E384C">
      <w:pPr>
        <w:spacing w:before="60" w:line="360" w:lineRule="auto"/>
      </w:pPr>
    </w:p>
    <w:p w14:paraId="6D72338C" w14:textId="77777777" w:rsidR="001E384C" w:rsidRDefault="00000000">
      <w:pPr>
        <w:tabs>
          <w:tab w:val="right" w:leader="dot" w:pos="8640"/>
        </w:tabs>
        <w:spacing w:after="80" w:line="360" w:lineRule="auto"/>
      </w:pPr>
      <w:r>
        <w:rPr>
          <w:rFonts w:ascii="Palatino Linotype" w:eastAsia="Palatino Linotype" w:hAnsi="Palatino Linotype" w:cs="Palatino Linotype"/>
          <w:b/>
          <w:bCs/>
          <w:color w:val="1A3D2B"/>
          <w:sz w:val="22"/>
          <w:szCs w:val="22"/>
        </w:rPr>
        <w:t>IV.  Credit Requirements, Standing, and Completion Policies</w:t>
      </w:r>
      <w:r>
        <w:rPr>
          <w:rFonts w:ascii="Palatino Linotype" w:eastAsia="Palatino Linotype" w:hAnsi="Palatino Linotype" w:cs="Palatino Linotype"/>
          <w:b/>
          <w:bCs/>
          <w:color w:val="4A5568"/>
          <w:sz w:val="22"/>
          <w:szCs w:val="22"/>
        </w:rPr>
        <w:tab/>
        <w:t>8</w:t>
      </w:r>
    </w:p>
    <w:p w14:paraId="5130704E"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Credit Requirements</w:t>
      </w:r>
      <w:r>
        <w:rPr>
          <w:rFonts w:ascii="Palatino Linotype" w:eastAsia="Palatino Linotype" w:hAnsi="Palatino Linotype" w:cs="Palatino Linotype"/>
          <w:color w:val="4A5568"/>
          <w:sz w:val="22"/>
          <w:szCs w:val="22"/>
        </w:rPr>
        <w:tab/>
        <w:t>8</w:t>
      </w:r>
    </w:p>
    <w:p w14:paraId="4A513022"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Standing in the UHP</w:t>
      </w:r>
      <w:r>
        <w:rPr>
          <w:rFonts w:ascii="Palatino Linotype" w:eastAsia="Palatino Linotype" w:hAnsi="Palatino Linotype" w:cs="Palatino Linotype"/>
          <w:color w:val="4A5568"/>
          <w:sz w:val="22"/>
          <w:szCs w:val="22"/>
        </w:rPr>
        <w:tab/>
        <w:t>8</w:t>
      </w:r>
    </w:p>
    <w:p w14:paraId="27B0735A"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Completion Policies</w:t>
      </w:r>
      <w:r>
        <w:rPr>
          <w:rFonts w:ascii="Palatino Linotype" w:eastAsia="Palatino Linotype" w:hAnsi="Palatino Linotype" w:cs="Palatino Linotype"/>
          <w:color w:val="4A5568"/>
          <w:sz w:val="22"/>
          <w:szCs w:val="22"/>
        </w:rPr>
        <w:tab/>
        <w:t>9</w:t>
      </w:r>
    </w:p>
    <w:p w14:paraId="374605DC" w14:textId="77777777" w:rsidR="001E384C" w:rsidRDefault="001E384C">
      <w:pPr>
        <w:spacing w:before="60" w:line="360" w:lineRule="auto"/>
      </w:pPr>
    </w:p>
    <w:p w14:paraId="145B8B50" w14:textId="77777777" w:rsidR="001E384C" w:rsidRDefault="00000000">
      <w:pPr>
        <w:tabs>
          <w:tab w:val="right" w:leader="dot" w:pos="8640"/>
        </w:tabs>
        <w:spacing w:after="80" w:line="360" w:lineRule="auto"/>
      </w:pPr>
      <w:r>
        <w:rPr>
          <w:rFonts w:ascii="Palatino Linotype" w:eastAsia="Palatino Linotype" w:hAnsi="Palatino Linotype" w:cs="Palatino Linotype"/>
          <w:b/>
          <w:bCs/>
          <w:color w:val="1A3D2B"/>
          <w:sz w:val="22"/>
          <w:szCs w:val="22"/>
        </w:rPr>
        <w:t>V.  UHP Curriculum</w:t>
      </w:r>
      <w:r>
        <w:rPr>
          <w:rFonts w:ascii="Palatino Linotype" w:eastAsia="Palatino Linotype" w:hAnsi="Palatino Linotype" w:cs="Palatino Linotype"/>
          <w:b/>
          <w:bCs/>
          <w:color w:val="4A5568"/>
          <w:sz w:val="22"/>
          <w:szCs w:val="22"/>
        </w:rPr>
        <w:tab/>
        <w:t>10</w:t>
      </w:r>
    </w:p>
    <w:p w14:paraId="16FC2CFE" w14:textId="225E38AB"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1. Courses with Honors Components (HC)</w:t>
      </w:r>
      <w:r>
        <w:rPr>
          <w:rFonts w:ascii="Palatino Linotype" w:eastAsia="Palatino Linotype" w:hAnsi="Palatino Linotype" w:cs="Palatino Linotype"/>
          <w:color w:val="4A5568"/>
          <w:sz w:val="22"/>
          <w:szCs w:val="22"/>
        </w:rPr>
        <w:tab/>
        <w:t>10</w:t>
      </w:r>
    </w:p>
    <w:p w14:paraId="6356D733"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2. Honors Seminar</w:t>
      </w:r>
      <w:r>
        <w:rPr>
          <w:rFonts w:ascii="Palatino Linotype" w:eastAsia="Palatino Linotype" w:hAnsi="Palatino Linotype" w:cs="Palatino Linotype"/>
          <w:color w:val="4A5568"/>
          <w:sz w:val="22"/>
          <w:szCs w:val="22"/>
        </w:rPr>
        <w:tab/>
        <w:t>11</w:t>
      </w:r>
    </w:p>
    <w:p w14:paraId="158AB1F2"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lastRenderedPageBreak/>
        <w:t>3. Internship with Honors Component</w:t>
      </w:r>
      <w:r>
        <w:rPr>
          <w:rFonts w:ascii="Palatino Linotype" w:eastAsia="Palatino Linotype" w:hAnsi="Palatino Linotype" w:cs="Palatino Linotype"/>
          <w:color w:val="4A5568"/>
          <w:sz w:val="22"/>
          <w:szCs w:val="22"/>
        </w:rPr>
        <w:tab/>
        <w:t>12</w:t>
      </w:r>
    </w:p>
    <w:p w14:paraId="04D95268" w14:textId="77777777" w:rsidR="001E384C" w:rsidRDefault="00000000">
      <w:pPr>
        <w:tabs>
          <w:tab w:val="right" w:leader="dot" w:pos="8640"/>
        </w:tabs>
        <w:spacing w:after="80" w:line="360" w:lineRule="auto"/>
        <w:ind w:left="360"/>
      </w:pPr>
      <w:r>
        <w:rPr>
          <w:rFonts w:ascii="Palatino Linotype" w:eastAsia="Palatino Linotype" w:hAnsi="Palatino Linotype" w:cs="Palatino Linotype"/>
          <w:color w:val="1A1A2E"/>
          <w:sz w:val="22"/>
          <w:szCs w:val="22"/>
        </w:rPr>
        <w:t>4. Capstone with Honors Component</w:t>
      </w:r>
      <w:r>
        <w:rPr>
          <w:rFonts w:ascii="Palatino Linotype" w:eastAsia="Palatino Linotype" w:hAnsi="Palatino Linotype" w:cs="Palatino Linotype"/>
          <w:color w:val="4A5568"/>
          <w:sz w:val="22"/>
          <w:szCs w:val="22"/>
        </w:rPr>
        <w:tab/>
        <w:t>14</w:t>
      </w:r>
    </w:p>
    <w:p w14:paraId="203B09D1" w14:textId="77777777" w:rsidR="001E384C" w:rsidRDefault="001E384C">
      <w:pPr>
        <w:spacing w:before="60" w:line="360" w:lineRule="auto"/>
      </w:pPr>
    </w:p>
    <w:p w14:paraId="13F46CF2" w14:textId="77777777" w:rsidR="001E384C" w:rsidRDefault="00000000">
      <w:pPr>
        <w:tabs>
          <w:tab w:val="right" w:leader="dot" w:pos="8640"/>
        </w:tabs>
        <w:spacing w:after="80" w:line="360" w:lineRule="auto"/>
      </w:pPr>
      <w:r>
        <w:rPr>
          <w:rFonts w:ascii="Palatino Linotype" w:eastAsia="Palatino Linotype" w:hAnsi="Palatino Linotype" w:cs="Palatino Linotype"/>
          <w:b/>
          <w:bCs/>
          <w:color w:val="1A3D2B"/>
          <w:sz w:val="22"/>
          <w:szCs w:val="22"/>
        </w:rPr>
        <w:t>VI.  Appendix: Relevant Forms</w:t>
      </w:r>
      <w:r>
        <w:rPr>
          <w:rFonts w:ascii="Palatino Linotype" w:eastAsia="Palatino Linotype" w:hAnsi="Palatino Linotype" w:cs="Palatino Linotype"/>
          <w:b/>
          <w:bCs/>
          <w:color w:val="4A5568"/>
          <w:sz w:val="22"/>
          <w:szCs w:val="22"/>
        </w:rPr>
        <w:tab/>
        <w:t>18</w:t>
      </w:r>
    </w:p>
    <w:p w14:paraId="23044779" w14:textId="77777777" w:rsidR="001E384C" w:rsidRDefault="00000000">
      <w:r>
        <w:br w:type="page"/>
      </w:r>
    </w:p>
    <w:p w14:paraId="7636B256" w14:textId="77777777" w:rsidR="001E384C" w:rsidRDefault="00000000">
      <w:pPr>
        <w:pBdr>
          <w:bottom w:val="single" w:sz="8" w:space="0" w:color="4A7C59"/>
        </w:pBdr>
        <w:shd w:val="clear" w:color="auto" w:fill="1A3D2B"/>
        <w:spacing w:before="280" w:after="60" w:line="360" w:lineRule="auto"/>
      </w:pPr>
      <w:r>
        <w:rPr>
          <w:rFonts w:ascii="Palatino Linotype" w:eastAsia="Palatino Linotype" w:hAnsi="Palatino Linotype" w:cs="Palatino Linotype"/>
          <w:b/>
          <w:bCs/>
          <w:caps/>
          <w:color w:val="FFFFFF"/>
          <w:spacing w:val="40"/>
          <w:sz w:val="26"/>
          <w:szCs w:val="26"/>
        </w:rPr>
        <w:lastRenderedPageBreak/>
        <w:t>I.  Overview of the University Honors Program</w:t>
      </w:r>
    </w:p>
    <w:p w14:paraId="2B649517" w14:textId="77777777" w:rsidR="001E384C" w:rsidRDefault="001E384C">
      <w:pPr>
        <w:spacing w:before="120" w:line="360" w:lineRule="auto"/>
      </w:pPr>
    </w:p>
    <w:p w14:paraId="4CB852F8"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Introduction</w:t>
      </w:r>
    </w:p>
    <w:p w14:paraId="5653D619"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At its founding in 1995, Al Akhawayn University (AUI) committed itself to becoming Morocco’s most distinctive institution of higher education. Taking as its model key elements of American higher education’s “student-centered pedagogy,” that enterprise continues to evolve. The university initially launched an Honors Program in 2010 to provide academically high-achieving students with a variety of special curricular opportunities. Beginning in spring 2013, the Honors Program was relaunched as the University Honors Program (UHP), a name that emphasizes its university-wide impact. Since its establishment, the UHP has continued to grow, involving more students and faculty members in a shared journey of exploration and discovery.</w:t>
      </w:r>
    </w:p>
    <w:p w14:paraId="69496D66" w14:textId="77777777" w:rsidR="001E384C" w:rsidRDefault="001E384C">
      <w:pPr>
        <w:spacing w:before="80" w:line="360" w:lineRule="auto"/>
      </w:pPr>
    </w:p>
    <w:p w14:paraId="40F6C69C"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The University Honors Program at Al Akhawayn University is an academic unit under the Academic Affairs Office. Designed for students from all three AUI schools — School of Business Administration (SBA), School of Science and Engineering (SSE), and School of Humanities and Social Sciences (SHSS) — who want to enrich their undergraduate education, the program attracts highly ethical, academically qualified, and self-motivated students. Through its four major modules — courses, internship, capstone projects with honors components, and honors seminars — the program offers an innovative, interdisciplinary arts and sciences curriculum taught by faculty open to engage with students’ learning on a deeper level. Without delaying progress toward a degree, the UHP provides students an opportunity to participate in a community of committed scholars and fosters intellectual friendship among students and their professors.</w:t>
      </w:r>
    </w:p>
    <w:p w14:paraId="562E1F5E" w14:textId="77777777" w:rsidR="001E384C" w:rsidRDefault="001E384C">
      <w:pPr>
        <w:spacing w:before="80" w:line="360" w:lineRule="auto"/>
      </w:pPr>
    </w:p>
    <w:p w14:paraId="42764B0A"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 xml:space="preserve">The UHP brings together three aspects of what is essential about liberal arts higher education. First, while authority and expertise are honored, they are also subjected to open-minded and intellectually rigorous scrutiny, thus the burden of understanding is placed squarely on the shoulders of the students. Second, the program’s governing aspiration is to practice a contemporary version of liberal arts higher education: critical and close reading, articulate and expressive writing, evidence-based interpretation, constructive listening and persuasive speaking, individual and collaborative problem-solving, and globally-focused </w:t>
      </w:r>
      <w:r>
        <w:rPr>
          <w:rFonts w:ascii="Palatino Linotype" w:eastAsia="Palatino Linotype" w:hAnsi="Palatino Linotype" w:cs="Palatino Linotype"/>
          <w:color w:val="1A1A2E"/>
          <w:sz w:val="22"/>
          <w:szCs w:val="22"/>
        </w:rPr>
        <w:lastRenderedPageBreak/>
        <w:t>cross-cultural understanding. Third, there is understanding of education not only as academics, but also as a life-building journey: its purpose is not to accumulate facts and theories, but rather to earn intellectual and career skills necessary for leadership and social engagement.</w:t>
      </w:r>
    </w:p>
    <w:p w14:paraId="4F299C11" w14:textId="77777777" w:rsidR="001E384C" w:rsidRDefault="001E384C">
      <w:pPr>
        <w:spacing w:before="160" w:line="360" w:lineRule="auto"/>
      </w:pPr>
    </w:p>
    <w:p w14:paraId="0A55256D"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Mission</w:t>
      </w:r>
    </w:p>
    <w:p w14:paraId="7F8973A0"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The University Honors Program is a unique learning experience, based on interdisciplinary seminars and explorations in research-oriented classes. It aims to build an intellectual community of students who are ethical, academically curious, creative, and rigorous, and seeks to bridge theory with practice.</w:t>
      </w:r>
    </w:p>
    <w:p w14:paraId="5725C7B2" w14:textId="77777777" w:rsidR="001E384C" w:rsidRDefault="001E384C">
      <w:pPr>
        <w:spacing w:before="160" w:line="360" w:lineRule="auto"/>
      </w:pPr>
    </w:p>
    <w:p w14:paraId="5F6ADA31"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Values and Learning Outcomes</w:t>
      </w:r>
    </w:p>
    <w:p w14:paraId="21418489"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By completing the UHP, students will be able to synthesize information and ideas independently by exercising their own judgment, even against the views of the many or the powerful while considering the consequences of their ideas for others and society. Honors students will be able to integrate their acquired interdisciplinary knowledge by using their critical thinking abilities and skills to respond to the conditions and concerns of contemporary challenges.</w:t>
      </w:r>
    </w:p>
    <w:p w14:paraId="69864379" w14:textId="77777777" w:rsidR="001E384C" w:rsidRDefault="001E384C">
      <w:pPr>
        <w:spacing w:before="160" w:line="360" w:lineRule="auto"/>
      </w:pPr>
    </w:p>
    <w:p w14:paraId="5ED772A4"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Bridging Theory and Practice</w:t>
      </w:r>
    </w:p>
    <w:p w14:paraId="0A55D6D2"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In line with AUI’s ongoing focus on socially engaged learning, through analysis of their internship experience, honors students will master and utilize skills to bridge sound theoretical thinking with involvement in practical tasks. Based on the knowledge of their field of studies, honors students will learn to recognize theoretical frameworks in dynamic concrete situations and analyze them on a deeper level.</w:t>
      </w:r>
    </w:p>
    <w:p w14:paraId="1A1EF695" w14:textId="77777777" w:rsidR="001E384C" w:rsidRDefault="001E384C">
      <w:pPr>
        <w:spacing w:before="160" w:line="360" w:lineRule="auto"/>
      </w:pPr>
    </w:p>
    <w:p w14:paraId="30E65FC3"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Benefits and Privileges</w:t>
      </w:r>
    </w:p>
    <w:p w14:paraId="10F48712"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 xml:space="preserve">Students within the UHP enjoy special privileges. They receive a more intensive and innovative education without spending additional time to complete their degrees. Students who successfully complete all the requirements of the program receive special certificates noting this accomplishment and </w:t>
      </w:r>
      <w:r>
        <w:rPr>
          <w:rFonts w:ascii="Palatino Linotype" w:eastAsia="Palatino Linotype" w:hAnsi="Palatino Linotype" w:cs="Palatino Linotype"/>
          <w:color w:val="1A1A2E"/>
          <w:sz w:val="22"/>
          <w:szCs w:val="22"/>
        </w:rPr>
        <w:lastRenderedPageBreak/>
        <w:t>are publicly recognized at AUI’s commencement ceremony. UHP students are given priority registration for courses. They are welcome to meet distinguished visitors to AUI, check out more books from the AUI library, and use library honors learning space. Finally, honors students benefit from themed travel opportunities in Morocco and abroad, extracurricular events and lectures, and receive help with publishing opportunities for undergraduate research magazines. Graduation from the UHP, with its broad interdisciplinary arts and sciences curriculum, gives students a distinct advantage when applying for national awards and scholarships, as well as graduate or professional schools.</w:t>
      </w:r>
    </w:p>
    <w:p w14:paraId="0FEE7F1B" w14:textId="77777777" w:rsidR="001E384C" w:rsidRDefault="001E384C">
      <w:pPr>
        <w:spacing w:before="160" w:line="360" w:lineRule="auto"/>
      </w:pPr>
    </w:p>
    <w:p w14:paraId="4B8EDFD0"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Contact Information</w:t>
      </w:r>
    </w:p>
    <w:p w14:paraId="432D0076"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Webpage: https://aui.ma/honors-program</w:t>
      </w:r>
    </w:p>
    <w:p w14:paraId="307776CD"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UHP Coordinator: uhp@aui.ma</w:t>
      </w:r>
    </w:p>
    <w:p w14:paraId="72155855"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For information about how the honors program fits in with students’ degree plans, or for specific information related to courses with honors sections, internships, or capstone projects, students are advised to ask the undergraduate coordinator of their respective AUI School.</w:t>
      </w:r>
    </w:p>
    <w:p w14:paraId="37EAA81F" w14:textId="77777777" w:rsidR="001E384C" w:rsidRDefault="00000000">
      <w:r>
        <w:br w:type="page"/>
      </w:r>
    </w:p>
    <w:p w14:paraId="40406EAD" w14:textId="77777777" w:rsidR="001E384C" w:rsidRDefault="00000000">
      <w:pPr>
        <w:pBdr>
          <w:bottom w:val="single" w:sz="8" w:space="0" w:color="4A7C59"/>
        </w:pBdr>
        <w:shd w:val="clear" w:color="auto" w:fill="1A3D2B"/>
        <w:spacing w:before="280" w:after="60" w:line="360" w:lineRule="auto"/>
      </w:pPr>
      <w:r>
        <w:rPr>
          <w:rFonts w:ascii="Palatino Linotype" w:eastAsia="Palatino Linotype" w:hAnsi="Palatino Linotype" w:cs="Palatino Linotype"/>
          <w:b/>
          <w:bCs/>
          <w:caps/>
          <w:color w:val="FFFFFF"/>
          <w:spacing w:val="40"/>
          <w:sz w:val="26"/>
          <w:szCs w:val="26"/>
        </w:rPr>
        <w:lastRenderedPageBreak/>
        <w:t>II.  UHP Organizational Structure</w:t>
      </w:r>
    </w:p>
    <w:p w14:paraId="02E2AC48" w14:textId="77777777" w:rsidR="001E384C" w:rsidRDefault="001E384C">
      <w:pPr>
        <w:spacing w:before="120" w:line="360" w:lineRule="auto"/>
      </w:pPr>
    </w:p>
    <w:p w14:paraId="4CF7F9EE"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Committee</w:t>
      </w:r>
    </w:p>
    <w:p w14:paraId="603C0D02" w14:textId="54C29959" w:rsidR="001E384C" w:rsidRDefault="00000000">
      <w:pPr>
        <w:spacing w:after="120" w:line="360" w:lineRule="auto"/>
        <w:jc w:val="both"/>
      </w:pPr>
      <w:r>
        <w:rPr>
          <w:rFonts w:ascii="Palatino Linotype" w:eastAsia="Palatino Linotype" w:hAnsi="Palatino Linotype" w:cs="Palatino Linotype"/>
          <w:color w:val="1A1A2E"/>
          <w:sz w:val="22"/>
          <w:szCs w:val="22"/>
        </w:rPr>
        <w:t xml:space="preserve">The University Honors Program Committee (UHPC or committee) is the program’s leading organ. It meets twice </w:t>
      </w:r>
      <w:r w:rsidR="009454B3">
        <w:rPr>
          <w:rFonts w:ascii="Palatino Linotype" w:eastAsia="Palatino Linotype" w:hAnsi="Palatino Linotype" w:cs="Palatino Linotype"/>
          <w:color w:val="1A1A2E"/>
          <w:sz w:val="22"/>
          <w:szCs w:val="22"/>
        </w:rPr>
        <w:t xml:space="preserve">a month and </w:t>
      </w:r>
      <w:r>
        <w:rPr>
          <w:rFonts w:ascii="Palatino Linotype" w:eastAsia="Palatino Linotype" w:hAnsi="Palatino Linotype" w:cs="Palatino Linotype"/>
          <w:color w:val="1A1A2E"/>
          <w:sz w:val="22"/>
          <w:szCs w:val="22"/>
        </w:rPr>
        <w:t xml:space="preserve">consists of </w:t>
      </w:r>
      <w:r w:rsidR="009454B3">
        <w:rPr>
          <w:rFonts w:ascii="Palatino Linotype" w:eastAsia="Palatino Linotype" w:hAnsi="Palatino Linotype" w:cs="Palatino Linotype"/>
          <w:color w:val="1A1A2E"/>
          <w:sz w:val="22"/>
          <w:szCs w:val="22"/>
        </w:rPr>
        <w:t xml:space="preserve">the following </w:t>
      </w:r>
      <w:r>
        <w:rPr>
          <w:rFonts w:ascii="Palatino Linotype" w:eastAsia="Palatino Linotype" w:hAnsi="Palatino Linotype" w:cs="Palatino Linotype"/>
          <w:color w:val="1A1A2E"/>
          <w:sz w:val="22"/>
          <w:szCs w:val="22"/>
        </w:rPr>
        <w:t>members:</w:t>
      </w:r>
    </w:p>
    <w:p w14:paraId="7ACBE5A2" w14:textId="77777777" w:rsidR="001E384C" w:rsidRDefault="001E384C">
      <w:pPr>
        <w:spacing w:before="80" w:line="360" w:lineRule="auto"/>
      </w:pPr>
    </w:p>
    <w:p w14:paraId="7B3564DE" w14:textId="20EDA00A" w:rsidR="001E384C" w:rsidRPr="00B467B8" w:rsidRDefault="00B467B8" w:rsidP="00B467B8">
      <w:pPr>
        <w:pStyle w:val="ListParagraph"/>
        <w:numPr>
          <w:ilvl w:val="0"/>
          <w:numId w:val="2"/>
        </w:numPr>
        <w:spacing w:after="100" w:line="360" w:lineRule="auto"/>
        <w:jc w:val="both"/>
        <w:rPr>
          <w:rFonts w:ascii="Palatino Linotype" w:eastAsia="Palatino Linotype" w:hAnsi="Palatino Linotype" w:cs="Palatino Linotype"/>
          <w:color w:val="1A1A2E"/>
          <w:sz w:val="22"/>
          <w:szCs w:val="22"/>
        </w:rPr>
      </w:pPr>
      <w:r w:rsidRPr="00B467B8">
        <w:rPr>
          <w:rFonts w:ascii="Palatino Linotype" w:eastAsia="Palatino Linotype" w:hAnsi="Palatino Linotype" w:cs="Palatino Linotype"/>
          <w:color w:val="1A1A2E"/>
          <w:sz w:val="22"/>
          <w:szCs w:val="22"/>
        </w:rPr>
        <w:t>The UHP coordinator represents the university Academic Affairs Office, chairs the committee, and reports to the Vice President of Academic Affairs (VPAA). The coordinator is elected through a recruitment process within the university.</w:t>
      </w:r>
    </w:p>
    <w:p w14:paraId="3EA37C8A" w14:textId="77777777" w:rsidR="00B467B8" w:rsidRDefault="00B467B8" w:rsidP="00B467B8">
      <w:pPr>
        <w:pStyle w:val="ListParagraph"/>
        <w:spacing w:after="100" w:line="360" w:lineRule="auto"/>
        <w:ind w:left="720"/>
        <w:jc w:val="both"/>
      </w:pPr>
    </w:p>
    <w:p w14:paraId="4A6BA3F1" w14:textId="12CAD896" w:rsidR="001E384C" w:rsidRDefault="00000000">
      <w:pPr>
        <w:spacing w:after="100" w:line="360" w:lineRule="auto"/>
        <w:ind w:left="720" w:hanging="360"/>
        <w:jc w:val="both"/>
        <w:rPr>
          <w:rFonts w:ascii="Palatino Linotype" w:eastAsia="Palatino Linotype" w:hAnsi="Palatino Linotype" w:cs="Palatino Linotype"/>
          <w:color w:val="1A1A2E"/>
          <w:sz w:val="22"/>
          <w:szCs w:val="22"/>
        </w:rPr>
      </w:pPr>
      <w:r>
        <w:rPr>
          <w:rFonts w:ascii="Palatino Linotype" w:eastAsia="Palatino Linotype" w:hAnsi="Palatino Linotype" w:cs="Palatino Linotype"/>
          <w:color w:val="1A1A2E"/>
          <w:sz w:val="22"/>
          <w:szCs w:val="22"/>
        </w:rPr>
        <w:t xml:space="preserve">b.  SBA, SHSS, and SSE undergraduate </w:t>
      </w:r>
      <w:r w:rsidR="009454B3">
        <w:rPr>
          <w:rFonts w:ascii="Palatino Linotype" w:eastAsia="Palatino Linotype" w:hAnsi="Palatino Linotype" w:cs="Palatino Linotype"/>
          <w:color w:val="1A1A2E"/>
          <w:sz w:val="22"/>
          <w:szCs w:val="22"/>
        </w:rPr>
        <w:t>student representatives</w:t>
      </w:r>
      <w:r>
        <w:rPr>
          <w:rFonts w:ascii="Palatino Linotype" w:eastAsia="Palatino Linotype" w:hAnsi="Palatino Linotype" w:cs="Palatino Linotype"/>
          <w:color w:val="1A1A2E"/>
          <w:sz w:val="22"/>
          <w:szCs w:val="22"/>
        </w:rPr>
        <w:t xml:space="preserve"> (3) are responsible for advising students in their respective schools about the program. Given the extent of their duties</w:t>
      </w:r>
      <w:r w:rsidR="009454B3">
        <w:rPr>
          <w:rFonts w:ascii="Palatino Linotype" w:eastAsia="Palatino Linotype" w:hAnsi="Palatino Linotype" w:cs="Palatino Linotype"/>
          <w:color w:val="1A1A2E"/>
          <w:sz w:val="22"/>
          <w:szCs w:val="22"/>
        </w:rPr>
        <w:t xml:space="preserve">, student representatives are requires to attend committee meetings to </w:t>
      </w:r>
      <w:r w:rsidR="009454B3" w:rsidRPr="009454B3">
        <w:rPr>
          <w:rFonts w:ascii="Palatino Linotype" w:eastAsia="Palatino Linotype" w:hAnsi="Palatino Linotype" w:cs="Palatino Linotype"/>
          <w:color w:val="1A1A2E"/>
          <w:sz w:val="22"/>
          <w:szCs w:val="22"/>
        </w:rPr>
        <w:t>represent the views and concerns of students to academic staff, provide feedback on the student experience, and actively contribute to the development of teaching, learning, and student support within their school</w:t>
      </w:r>
      <w:r>
        <w:rPr>
          <w:rFonts w:ascii="Palatino Linotype" w:eastAsia="Palatino Linotype" w:hAnsi="Palatino Linotype" w:cs="Palatino Linotype"/>
          <w:color w:val="1A1A2E"/>
          <w:sz w:val="22"/>
          <w:szCs w:val="22"/>
        </w:rPr>
        <w:t>.</w:t>
      </w:r>
    </w:p>
    <w:p w14:paraId="60DD0B04" w14:textId="77777777" w:rsidR="00B467B8" w:rsidRDefault="00B467B8">
      <w:pPr>
        <w:spacing w:after="100" w:line="360" w:lineRule="auto"/>
        <w:ind w:left="720" w:hanging="360"/>
        <w:jc w:val="both"/>
      </w:pPr>
    </w:p>
    <w:p w14:paraId="1E7D21CE" w14:textId="1F6C687F" w:rsidR="001E384C" w:rsidRDefault="00000000" w:rsidP="00B467B8">
      <w:pPr>
        <w:spacing w:after="100" w:line="360" w:lineRule="auto"/>
        <w:ind w:left="720" w:hanging="360"/>
        <w:jc w:val="both"/>
        <w:rPr>
          <w:rFonts w:ascii="Palatino Linotype" w:eastAsia="Palatino Linotype" w:hAnsi="Palatino Linotype" w:cs="Palatino Linotype"/>
          <w:color w:val="1A1A2E"/>
          <w:sz w:val="22"/>
          <w:szCs w:val="22"/>
        </w:rPr>
      </w:pPr>
      <w:r>
        <w:rPr>
          <w:rFonts w:ascii="Palatino Linotype" w:eastAsia="Palatino Linotype" w:hAnsi="Palatino Linotype" w:cs="Palatino Linotype"/>
          <w:color w:val="1A1A2E"/>
          <w:sz w:val="22"/>
          <w:szCs w:val="22"/>
        </w:rPr>
        <w:t>c.  A representative from the Enrollment Office is responsible for advising the committee about transcript and enrollment issues and for helping students with registration for honors courses.</w:t>
      </w:r>
    </w:p>
    <w:p w14:paraId="66E69D4C" w14:textId="77777777" w:rsidR="00B467B8" w:rsidRPr="00B467B8" w:rsidRDefault="00B467B8" w:rsidP="00B467B8">
      <w:pPr>
        <w:spacing w:after="100" w:line="360" w:lineRule="auto"/>
        <w:ind w:left="720" w:hanging="360"/>
        <w:jc w:val="both"/>
        <w:rPr>
          <w:rFonts w:ascii="Palatino Linotype" w:eastAsia="Palatino Linotype" w:hAnsi="Palatino Linotype" w:cs="Palatino Linotype"/>
          <w:color w:val="1A1A2E"/>
          <w:sz w:val="22"/>
          <w:szCs w:val="22"/>
        </w:rPr>
      </w:pPr>
    </w:p>
    <w:p w14:paraId="760F11C4" w14:textId="77777777" w:rsidR="00B467B8" w:rsidRDefault="00000000" w:rsidP="00B467B8">
      <w:pPr>
        <w:spacing w:after="100" w:line="360" w:lineRule="auto"/>
        <w:ind w:left="720" w:hanging="360"/>
        <w:jc w:val="both"/>
      </w:pPr>
      <w:r>
        <w:rPr>
          <w:rFonts w:ascii="Palatino Linotype" w:eastAsia="Palatino Linotype" w:hAnsi="Palatino Linotype" w:cs="Palatino Linotype"/>
          <w:color w:val="1A1A2E"/>
          <w:sz w:val="22"/>
          <w:szCs w:val="22"/>
        </w:rPr>
        <w:t>d.  An honors seminar faculty</w:t>
      </w:r>
      <w:r w:rsidR="00B467B8">
        <w:rPr>
          <w:rFonts w:ascii="Palatino Linotype" w:eastAsia="Palatino Linotype" w:hAnsi="Palatino Linotype" w:cs="Palatino Linotype"/>
          <w:color w:val="1A1A2E"/>
          <w:sz w:val="22"/>
          <w:szCs w:val="22"/>
        </w:rPr>
        <w:t xml:space="preserve"> </w:t>
      </w:r>
      <w:r>
        <w:rPr>
          <w:rFonts w:ascii="Palatino Linotype" w:eastAsia="Palatino Linotype" w:hAnsi="Palatino Linotype" w:cs="Palatino Linotype"/>
          <w:color w:val="1A1A2E"/>
          <w:sz w:val="22"/>
          <w:szCs w:val="22"/>
        </w:rPr>
        <w:t>is responsible for advising the committee about the professors’ perspective on the program modules. The faculty is invited by the committee on the basis of the faculty’s teaching portfolio; the faculty should have taught modules in at least two honors seminars and two courses with honors components. The faculty is elected for a period of one academic year with a possibility upon mutual agreement of extension for another period.</w:t>
      </w:r>
      <w:r w:rsidR="00B467B8" w:rsidRPr="00B467B8">
        <w:t xml:space="preserve"> </w:t>
      </w:r>
    </w:p>
    <w:p w14:paraId="06813386" w14:textId="77777777" w:rsidR="00B467B8" w:rsidRDefault="00B467B8" w:rsidP="00B467B8">
      <w:pPr>
        <w:spacing w:after="100" w:line="360" w:lineRule="auto"/>
        <w:ind w:left="720" w:hanging="360"/>
        <w:jc w:val="both"/>
      </w:pPr>
    </w:p>
    <w:p w14:paraId="0E191B80" w14:textId="77777777" w:rsidR="00B467B8" w:rsidRDefault="00B467B8" w:rsidP="00B467B8">
      <w:pPr>
        <w:spacing w:after="100" w:line="360" w:lineRule="auto"/>
        <w:ind w:left="720" w:hanging="360"/>
        <w:jc w:val="both"/>
      </w:pPr>
      <w:r w:rsidRPr="00B467B8">
        <w:rPr>
          <w:rFonts w:ascii="Palatino" w:hAnsi="Palatino" w:cs="Plantagenet Cherokee"/>
        </w:rPr>
        <w:t>e.</w:t>
      </w:r>
      <w:r w:rsidRPr="00B467B8">
        <w:t xml:space="preserve"> </w:t>
      </w:r>
      <w:r>
        <w:tab/>
      </w:r>
      <w:r w:rsidRPr="00B467B8">
        <w:rPr>
          <w:rFonts w:ascii="Palatino Linotype" w:eastAsia="Palatino Linotype" w:hAnsi="Palatino Linotype" w:cs="Palatino Linotype"/>
          <w:color w:val="1A1A2E"/>
        </w:rPr>
        <w:t xml:space="preserve">Longstanding faculty members of the Honors Program (as applicable) serve as advisory members of the committee. These faculty bring institutional memory and sustained experience with the program, contributing to continuity, mentorship, and the long-term development of the Honors curriculum and </w:t>
      </w:r>
      <w:r w:rsidRPr="00B467B8">
        <w:rPr>
          <w:rFonts w:ascii="Palatino Linotype" w:eastAsia="Palatino Linotype" w:hAnsi="Palatino Linotype" w:cs="Palatino Linotype"/>
          <w:color w:val="1A1A2E"/>
        </w:rPr>
        <w:lastRenderedPageBreak/>
        <w:t>mission. Their participation may be ongoing or determined by the committee based on prior involvement and expertise.</w:t>
      </w:r>
      <w:r w:rsidRPr="00B467B8">
        <w:t xml:space="preserve"> </w:t>
      </w:r>
    </w:p>
    <w:p w14:paraId="6FFBDBF1" w14:textId="77777777" w:rsidR="00B467B8" w:rsidRDefault="00B467B8" w:rsidP="00B467B8">
      <w:pPr>
        <w:spacing w:after="100" w:line="360" w:lineRule="auto"/>
        <w:ind w:left="720" w:hanging="360"/>
        <w:jc w:val="both"/>
      </w:pPr>
    </w:p>
    <w:p w14:paraId="5D82C66B" w14:textId="6E30A72F" w:rsidR="001E384C" w:rsidRDefault="00B467B8" w:rsidP="00B467B8">
      <w:pPr>
        <w:spacing w:after="100" w:line="360" w:lineRule="auto"/>
        <w:ind w:left="720" w:hanging="360"/>
        <w:jc w:val="both"/>
      </w:pPr>
      <w:r>
        <w:rPr>
          <w:rFonts w:ascii="Palatino" w:hAnsi="Palatino" w:cs="Plantagenet Cherokee"/>
        </w:rPr>
        <w:t>f.</w:t>
      </w:r>
      <w:r>
        <w:rPr>
          <w:rFonts w:ascii="Palatino Linotype" w:eastAsia="Palatino Linotype" w:hAnsi="Palatino Linotype" w:cs="Palatino Linotype"/>
          <w:color w:val="1A1A2E"/>
        </w:rPr>
        <w:t xml:space="preserve"> </w:t>
      </w:r>
      <w:r>
        <w:rPr>
          <w:rFonts w:ascii="Palatino Linotype" w:eastAsia="Palatino Linotype" w:hAnsi="Palatino Linotype" w:cs="Palatino Linotype"/>
          <w:color w:val="1A1A2E"/>
        </w:rPr>
        <w:tab/>
      </w:r>
      <w:r w:rsidRPr="00B467B8">
        <w:rPr>
          <w:rFonts w:ascii="Palatino Linotype" w:eastAsia="Palatino Linotype" w:hAnsi="Palatino Linotype" w:cs="Palatino Linotype"/>
          <w:color w:val="1A1A2E"/>
        </w:rPr>
        <w:t>The UHP assistant</w:t>
      </w:r>
      <w:r>
        <w:rPr>
          <w:rFonts w:ascii="Palatino Linotype" w:eastAsia="Palatino Linotype" w:hAnsi="Palatino Linotype" w:cs="Palatino Linotype"/>
          <w:color w:val="1A1A2E"/>
        </w:rPr>
        <w:t xml:space="preserve"> </w:t>
      </w:r>
      <w:r w:rsidRPr="00B467B8">
        <w:rPr>
          <w:rFonts w:ascii="Palatino Linotype" w:eastAsia="Palatino Linotype" w:hAnsi="Palatino Linotype" w:cs="Palatino Linotype"/>
          <w:color w:val="1A1A2E"/>
        </w:rPr>
        <w:t>supports the administrative and operational functions of the program. The assistant coordinates communication, assists with event planning and documentation, supports committee logistics, and contributes to the implementation of program initiatives. The assistant is expected to attend committee meetings and facilitate follow-up on action items.</w:t>
      </w:r>
      <w:r>
        <w:br w:type="page"/>
      </w:r>
    </w:p>
    <w:p w14:paraId="7D02D37B" w14:textId="77777777" w:rsidR="001E384C" w:rsidRDefault="00000000">
      <w:pPr>
        <w:pBdr>
          <w:bottom w:val="single" w:sz="8" w:space="0" w:color="4A7C59"/>
        </w:pBdr>
        <w:shd w:val="clear" w:color="auto" w:fill="1A3D2B"/>
        <w:spacing w:before="280" w:after="60" w:line="360" w:lineRule="auto"/>
      </w:pPr>
      <w:r>
        <w:rPr>
          <w:rFonts w:ascii="Palatino Linotype" w:eastAsia="Palatino Linotype" w:hAnsi="Palatino Linotype" w:cs="Palatino Linotype"/>
          <w:b/>
          <w:bCs/>
          <w:caps/>
          <w:color w:val="FFFFFF"/>
          <w:spacing w:val="40"/>
          <w:sz w:val="26"/>
          <w:szCs w:val="26"/>
        </w:rPr>
        <w:lastRenderedPageBreak/>
        <w:t>III.  Application and Enrollment Policies</w:t>
      </w:r>
    </w:p>
    <w:p w14:paraId="70780300" w14:textId="77777777" w:rsidR="001E384C" w:rsidRDefault="001E384C">
      <w:pPr>
        <w:spacing w:before="120" w:line="360" w:lineRule="auto"/>
      </w:pPr>
    </w:p>
    <w:p w14:paraId="471817CD"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Eligibility to Apply</w:t>
      </w:r>
    </w:p>
    <w:p w14:paraId="0255F69B"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a.  Completed 30 SCH of regular course work.</w:t>
      </w:r>
    </w:p>
    <w:p w14:paraId="36E257B3"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b.  Cumulative GPA 3.4.</w:t>
      </w:r>
    </w:p>
    <w:p w14:paraId="244B3B22"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c.  At least three semesters remaining before graduation.</w:t>
      </w:r>
    </w:p>
    <w:p w14:paraId="75284E4E"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d.  Applicants must never have been placed on academic probation and/or involved in an academic dishonesty action or disciplinary sanction.</w:t>
      </w:r>
    </w:p>
    <w:p w14:paraId="26510711" w14:textId="77777777" w:rsidR="001E384C" w:rsidRDefault="001E384C">
      <w:pPr>
        <w:spacing w:before="160" w:line="360" w:lineRule="auto"/>
      </w:pPr>
    </w:p>
    <w:p w14:paraId="0D88CCE7"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Application Documents</w:t>
      </w:r>
    </w:p>
    <w:p w14:paraId="54297676"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a.  Application form (see the Appendix).</w:t>
      </w:r>
    </w:p>
    <w:p w14:paraId="55B25DB7"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b.  Unofficial AUI transcript stamped and signed by the Enrollment Office.</w:t>
      </w:r>
    </w:p>
    <w:p w14:paraId="7A500CCD" w14:textId="5BE3A80A" w:rsidR="001E384C" w:rsidRDefault="00000000" w:rsidP="00255BB7">
      <w:pPr>
        <w:spacing w:after="100" w:line="360" w:lineRule="auto"/>
        <w:ind w:left="720" w:hanging="360"/>
        <w:jc w:val="both"/>
      </w:pPr>
      <w:r>
        <w:rPr>
          <w:rFonts w:ascii="Palatino Linotype" w:eastAsia="Palatino Linotype" w:hAnsi="Palatino Linotype" w:cs="Palatino Linotype"/>
          <w:color w:val="1A1A2E"/>
          <w:sz w:val="22"/>
          <w:szCs w:val="22"/>
        </w:rPr>
        <w:t>c.  Curriculum vitae.</w:t>
      </w:r>
    </w:p>
    <w:p w14:paraId="6C08072F"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Application Procedures and Group Interview</w:t>
      </w:r>
    </w:p>
    <w:p w14:paraId="0B0899E0" w14:textId="02635084"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 xml:space="preserve">a.  Applicants submit </w:t>
      </w:r>
      <w:r w:rsidR="00484F60">
        <w:rPr>
          <w:rFonts w:ascii="Palatino Linotype" w:eastAsia="Palatino Linotype" w:hAnsi="Palatino Linotype" w:cs="Palatino Linotype"/>
          <w:color w:val="1A1A2E"/>
          <w:sz w:val="22"/>
          <w:szCs w:val="22"/>
        </w:rPr>
        <w:t>digital</w:t>
      </w:r>
      <w:r>
        <w:rPr>
          <w:rFonts w:ascii="Palatino Linotype" w:eastAsia="Palatino Linotype" w:hAnsi="Palatino Linotype" w:cs="Palatino Linotype"/>
          <w:color w:val="1A1A2E"/>
          <w:sz w:val="22"/>
          <w:szCs w:val="22"/>
        </w:rPr>
        <w:t xml:space="preserve"> copies of the application documents to the UHP coordinator at least five working days before the desired date for an interview.</w:t>
      </w:r>
    </w:p>
    <w:p w14:paraId="6403ED55"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b.  Applicants sit for a group interview with two or three other applicants in the presence of the UHP Coordinator (or a UHPC member) and a representative of the Student Governing Body.</w:t>
      </w:r>
    </w:p>
    <w:p w14:paraId="05B4B03F"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c.  The UHP coordinator informs the applicant whether the applicant is admitted within five working days after the interview.</w:t>
      </w:r>
    </w:p>
    <w:p w14:paraId="7FDA169B"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d.  At the discretion of the UHP Coordinator and after consulting with the UHPC, the applicant might be invited to an additional interview with the UHPC. All applicants are evaluated on the merits of their individual portfolios, i.e., applicants are admitted or rejected based on their application documents. However, the group interview is an important and integral part of the application process and all applicants must sit for it.</w:t>
      </w:r>
    </w:p>
    <w:p w14:paraId="6CA24193" w14:textId="77777777" w:rsidR="001E384C" w:rsidRDefault="001E384C">
      <w:pPr>
        <w:spacing w:before="160" w:line="360" w:lineRule="auto"/>
      </w:pPr>
    </w:p>
    <w:p w14:paraId="27BA9B9D"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Application Deadlines</w:t>
      </w:r>
    </w:p>
    <w:p w14:paraId="3CF0AF93"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There are two options for when to apply:</w:t>
      </w:r>
    </w:p>
    <w:p w14:paraId="788C7690" w14:textId="77777777" w:rsidR="001E384C" w:rsidRDefault="001E384C">
      <w:pPr>
        <w:spacing w:before="60" w:line="360" w:lineRule="auto"/>
      </w:pPr>
    </w:p>
    <w:p w14:paraId="3FAD5C30"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a.  Students who plan to start their UHP studies in the semester following their acceptance to the program can apply and sit for a group interview at any time during the current semester.</w:t>
      </w:r>
    </w:p>
    <w:p w14:paraId="78B66A3C"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b.  Students who intend to start their UHP studies during the semester of their application to the UHP should:</w:t>
      </w:r>
    </w:p>
    <w:p w14:paraId="091686F9" w14:textId="77777777" w:rsidR="001E384C" w:rsidRDefault="00000000">
      <w:pPr>
        <w:spacing w:after="80" w:line="360" w:lineRule="auto"/>
        <w:ind w:left="1080" w:hanging="360"/>
        <w:jc w:val="both"/>
      </w:pPr>
      <w:r>
        <w:rPr>
          <w:rFonts w:ascii="Palatino Linotype" w:eastAsia="Palatino Linotype" w:hAnsi="Palatino Linotype" w:cs="Palatino Linotype"/>
          <w:color w:val="1A1A2E"/>
          <w:sz w:val="22"/>
          <w:szCs w:val="22"/>
        </w:rPr>
        <w:t>i.  Submit their application documents at the end of the previous semester (or at the latest within the first five days of the current semester).</w:t>
      </w:r>
    </w:p>
    <w:p w14:paraId="4044A5A5"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c.  Sit for a group interview during the second week of the semester.</w:t>
      </w:r>
    </w:p>
    <w:p w14:paraId="249384B5" w14:textId="0982065D"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 xml:space="preserve">d.  Interviews </w:t>
      </w:r>
      <w:r w:rsidR="00941F79">
        <w:rPr>
          <w:rFonts w:ascii="Palatino Linotype" w:eastAsia="Palatino Linotype" w:hAnsi="Palatino Linotype" w:cs="Palatino Linotype"/>
          <w:color w:val="1A1A2E"/>
          <w:sz w:val="22"/>
          <w:szCs w:val="22"/>
        </w:rPr>
        <w:t>can be</w:t>
      </w:r>
      <w:r>
        <w:rPr>
          <w:rFonts w:ascii="Palatino Linotype" w:eastAsia="Palatino Linotype" w:hAnsi="Palatino Linotype" w:cs="Palatino Linotype"/>
          <w:color w:val="1A1A2E"/>
          <w:sz w:val="22"/>
          <w:szCs w:val="22"/>
        </w:rPr>
        <w:t xml:space="preserve"> held during the summer semester. However, no interviews are held in August.</w:t>
      </w:r>
    </w:p>
    <w:p w14:paraId="4A56DE75" w14:textId="77777777" w:rsidR="001E384C" w:rsidRDefault="00000000">
      <w:r>
        <w:br w:type="page"/>
      </w:r>
    </w:p>
    <w:p w14:paraId="01A10C05" w14:textId="77777777" w:rsidR="001E384C" w:rsidRDefault="00000000">
      <w:pPr>
        <w:pBdr>
          <w:bottom w:val="single" w:sz="8" w:space="0" w:color="4A7C59"/>
        </w:pBdr>
        <w:shd w:val="clear" w:color="auto" w:fill="1A3D2B"/>
        <w:spacing w:before="280" w:after="60" w:line="360" w:lineRule="auto"/>
      </w:pPr>
      <w:r>
        <w:rPr>
          <w:rFonts w:ascii="Palatino Linotype" w:eastAsia="Palatino Linotype" w:hAnsi="Palatino Linotype" w:cs="Palatino Linotype"/>
          <w:b/>
          <w:bCs/>
          <w:caps/>
          <w:color w:val="FFFFFF"/>
          <w:spacing w:val="40"/>
          <w:sz w:val="26"/>
          <w:szCs w:val="26"/>
        </w:rPr>
        <w:lastRenderedPageBreak/>
        <w:t>IV.  Credit Requirements, Standing in the Program, and Completion Policies</w:t>
      </w:r>
    </w:p>
    <w:p w14:paraId="1A56C34E" w14:textId="77777777" w:rsidR="001E384C" w:rsidRDefault="001E384C">
      <w:pPr>
        <w:spacing w:before="120" w:line="360" w:lineRule="auto"/>
      </w:pPr>
    </w:p>
    <w:p w14:paraId="0D8F569D"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Credit Requirements</w:t>
      </w:r>
    </w:p>
    <w:p w14:paraId="4EFA8AC1" w14:textId="1C9B293B" w:rsidR="001E384C" w:rsidRDefault="00000000">
      <w:pPr>
        <w:spacing w:after="120" w:line="360" w:lineRule="auto"/>
        <w:jc w:val="both"/>
      </w:pPr>
      <w:r>
        <w:rPr>
          <w:rFonts w:ascii="Palatino Linotype" w:eastAsia="Palatino Linotype" w:hAnsi="Palatino Linotype" w:cs="Palatino Linotype"/>
          <w:color w:val="1A1A2E"/>
          <w:sz w:val="22"/>
          <w:szCs w:val="22"/>
        </w:rPr>
        <w:t>In order to qualify for a UHP certificate, students must complete a minimum of 1</w:t>
      </w:r>
      <w:r w:rsidR="00AA6ECD">
        <w:rPr>
          <w:rFonts w:ascii="Palatino Linotype" w:eastAsia="Palatino Linotype" w:hAnsi="Palatino Linotype" w:cs="Palatino Linotype"/>
          <w:color w:val="1A1A2E"/>
          <w:sz w:val="22"/>
          <w:szCs w:val="22"/>
        </w:rPr>
        <w:t xml:space="preserve">8 HC </w:t>
      </w:r>
      <w:r>
        <w:rPr>
          <w:rFonts w:ascii="Palatino Linotype" w:eastAsia="Palatino Linotype" w:hAnsi="Palatino Linotype" w:cs="Palatino Linotype"/>
          <w:color w:val="1A1A2E"/>
          <w:sz w:val="22"/>
          <w:szCs w:val="22"/>
        </w:rPr>
        <w:t>in designated courses and related academic projects with honors components. Those credits must be earned from the following categories:</w:t>
      </w:r>
    </w:p>
    <w:p w14:paraId="7CA9FBC4" w14:textId="77777777" w:rsidR="001E384C" w:rsidRDefault="001E384C">
      <w:pPr>
        <w:spacing w:before="80" w:line="360" w:lineRule="auto"/>
      </w:pPr>
    </w:p>
    <w:p w14:paraId="202C9B25" w14:textId="75DACA72"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 xml:space="preserve">a.  </w:t>
      </w:r>
      <w:r w:rsidR="00AA6ECD">
        <w:rPr>
          <w:rFonts w:ascii="Palatino Linotype" w:eastAsia="Palatino Linotype" w:hAnsi="Palatino Linotype" w:cs="Palatino Linotype"/>
          <w:color w:val="1A1A2E"/>
          <w:sz w:val="22"/>
          <w:szCs w:val="22"/>
        </w:rPr>
        <w:t xml:space="preserve">12 </w:t>
      </w:r>
      <w:r>
        <w:rPr>
          <w:rFonts w:ascii="Palatino Linotype" w:eastAsia="Palatino Linotype" w:hAnsi="Palatino Linotype" w:cs="Palatino Linotype"/>
          <w:color w:val="1A1A2E"/>
          <w:sz w:val="22"/>
          <w:szCs w:val="22"/>
        </w:rPr>
        <w:t>H</w:t>
      </w:r>
      <w:r w:rsidR="00AA6ECD">
        <w:rPr>
          <w:rFonts w:ascii="Palatino Linotype" w:eastAsia="Palatino Linotype" w:hAnsi="Palatino Linotype" w:cs="Palatino Linotype"/>
          <w:color w:val="1A1A2E"/>
          <w:sz w:val="22"/>
          <w:szCs w:val="22"/>
        </w:rPr>
        <w:t>C</w:t>
      </w:r>
      <w:r>
        <w:rPr>
          <w:rFonts w:ascii="Palatino Linotype" w:eastAsia="Palatino Linotype" w:hAnsi="Palatino Linotype" w:cs="Palatino Linotype"/>
          <w:color w:val="1A1A2E"/>
          <w:sz w:val="22"/>
          <w:szCs w:val="22"/>
        </w:rPr>
        <w:t xml:space="preserve"> (</w:t>
      </w:r>
      <w:r w:rsidR="00AA6ECD">
        <w:rPr>
          <w:rFonts w:ascii="Palatino Linotype" w:eastAsia="Palatino Linotype" w:hAnsi="Palatino Linotype" w:cs="Palatino Linotype"/>
          <w:color w:val="1A1A2E"/>
          <w:sz w:val="22"/>
          <w:szCs w:val="22"/>
        </w:rPr>
        <w:t>four</w:t>
      </w:r>
      <w:r>
        <w:rPr>
          <w:rFonts w:ascii="Palatino Linotype" w:eastAsia="Palatino Linotype" w:hAnsi="Palatino Linotype" w:cs="Palatino Linotype"/>
          <w:color w:val="1A1A2E"/>
          <w:sz w:val="22"/>
          <w:szCs w:val="22"/>
        </w:rPr>
        <w:t xml:space="preserve"> courses) in courses with honors components</w:t>
      </w:r>
      <w:r w:rsidR="000858A2">
        <w:rPr>
          <w:rFonts w:ascii="Palatino Linotype" w:eastAsia="Palatino Linotype" w:hAnsi="Palatino Linotype" w:cs="Palatino Linotype"/>
          <w:color w:val="1A1A2E"/>
          <w:sz w:val="22"/>
          <w:szCs w:val="22"/>
        </w:rPr>
        <w:t xml:space="preserve"> or 9 HC (three courses) and 3 HC in a senior capstone class</w:t>
      </w:r>
      <w:r>
        <w:rPr>
          <w:rFonts w:ascii="Palatino Linotype" w:eastAsia="Palatino Linotype" w:hAnsi="Palatino Linotype" w:cs="Palatino Linotype"/>
          <w:color w:val="1A1A2E"/>
          <w:sz w:val="22"/>
          <w:szCs w:val="22"/>
        </w:rPr>
        <w:t>.</w:t>
      </w:r>
    </w:p>
    <w:p w14:paraId="6A48A78A" w14:textId="3D5D9848"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 xml:space="preserve">b.  3 </w:t>
      </w:r>
      <w:r w:rsidR="00AA6ECD">
        <w:rPr>
          <w:rFonts w:ascii="Palatino Linotype" w:eastAsia="Palatino Linotype" w:hAnsi="Palatino Linotype" w:cs="Palatino Linotype"/>
          <w:color w:val="1A1A2E"/>
          <w:sz w:val="22"/>
          <w:szCs w:val="22"/>
        </w:rPr>
        <w:t>HC</w:t>
      </w:r>
      <w:r>
        <w:rPr>
          <w:rFonts w:ascii="Palatino Linotype" w:eastAsia="Palatino Linotype" w:hAnsi="Palatino Linotype" w:cs="Palatino Linotype"/>
          <w:color w:val="1A1A2E"/>
          <w:sz w:val="22"/>
          <w:szCs w:val="22"/>
        </w:rPr>
        <w:t xml:space="preserve"> (one course) in an interdisciplinary honors seminar.</w:t>
      </w:r>
    </w:p>
    <w:p w14:paraId="7D1BBE89" w14:textId="05CF1FC1" w:rsidR="001E384C" w:rsidRDefault="00000000" w:rsidP="00AA6ECD">
      <w:pPr>
        <w:spacing w:after="100" w:line="360" w:lineRule="auto"/>
        <w:ind w:left="720" w:hanging="360"/>
        <w:jc w:val="both"/>
      </w:pPr>
      <w:r>
        <w:rPr>
          <w:rFonts w:ascii="Palatino Linotype" w:eastAsia="Palatino Linotype" w:hAnsi="Palatino Linotype" w:cs="Palatino Linotype"/>
          <w:color w:val="1A1A2E"/>
          <w:sz w:val="22"/>
          <w:szCs w:val="22"/>
        </w:rPr>
        <w:t xml:space="preserve">c.  3 </w:t>
      </w:r>
      <w:r w:rsidR="00AA6ECD">
        <w:rPr>
          <w:rFonts w:ascii="Palatino Linotype" w:eastAsia="Palatino Linotype" w:hAnsi="Palatino Linotype" w:cs="Palatino Linotype"/>
          <w:color w:val="1A1A2E"/>
          <w:sz w:val="22"/>
          <w:szCs w:val="22"/>
        </w:rPr>
        <w:t xml:space="preserve">HC </w:t>
      </w:r>
      <w:r>
        <w:rPr>
          <w:rFonts w:ascii="Palatino Linotype" w:eastAsia="Palatino Linotype" w:hAnsi="Palatino Linotype" w:cs="Palatino Linotype"/>
          <w:color w:val="1A1A2E"/>
          <w:sz w:val="22"/>
          <w:szCs w:val="22"/>
        </w:rPr>
        <w:t>in internship with honors component.</w:t>
      </w:r>
    </w:p>
    <w:p w14:paraId="2C697F23"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Standing in the UHP</w:t>
      </w:r>
    </w:p>
    <w:p w14:paraId="663F34CF" w14:textId="77777777" w:rsidR="001E384C" w:rsidRDefault="00000000">
      <w:pPr>
        <w:spacing w:after="120" w:line="360" w:lineRule="auto"/>
        <w:jc w:val="both"/>
      </w:pPr>
      <w:r>
        <w:rPr>
          <w:rFonts w:ascii="Palatino Linotype" w:eastAsia="Palatino Linotype" w:hAnsi="Palatino Linotype" w:cs="Palatino Linotype"/>
          <w:b/>
          <w:bCs/>
          <w:color w:val="1A1A2E"/>
          <w:sz w:val="22"/>
          <w:szCs w:val="22"/>
        </w:rPr>
        <w:t>a.  CGPA Requirement</w:t>
      </w:r>
    </w:p>
    <w:p w14:paraId="21D9D3E6" w14:textId="77777777" w:rsidR="001E384C" w:rsidRDefault="00000000">
      <w:pPr>
        <w:spacing w:after="80" w:line="360" w:lineRule="auto"/>
        <w:ind w:left="1080" w:hanging="360"/>
        <w:jc w:val="both"/>
      </w:pPr>
      <w:r>
        <w:rPr>
          <w:rFonts w:ascii="Palatino Linotype" w:eastAsia="Palatino Linotype" w:hAnsi="Palatino Linotype" w:cs="Palatino Linotype"/>
          <w:color w:val="1A1A2E"/>
          <w:sz w:val="22"/>
          <w:szCs w:val="22"/>
        </w:rPr>
        <w:t>i.  In order to maintain official registration in the program, a student must have each semester a minimum cumulative GPA of 3.4.</w:t>
      </w:r>
    </w:p>
    <w:p w14:paraId="3CA2EB35" w14:textId="77777777" w:rsidR="001E384C" w:rsidRDefault="00000000">
      <w:pPr>
        <w:spacing w:after="80" w:line="360" w:lineRule="auto"/>
        <w:ind w:left="1080" w:hanging="360"/>
        <w:jc w:val="both"/>
      </w:pPr>
      <w:r>
        <w:rPr>
          <w:rFonts w:ascii="Palatino Linotype" w:eastAsia="Palatino Linotype" w:hAnsi="Palatino Linotype" w:cs="Palatino Linotype"/>
          <w:color w:val="1A1A2E"/>
          <w:sz w:val="22"/>
          <w:szCs w:val="22"/>
        </w:rPr>
        <w:t>ii.  A student’s cumulative GPA can drop below 3.4 once. In this case, the student remains enrolled in the program, but is not allowed to take honors module(s) during the following semester. After a second drop below 3.4, the student is dismissed from the program.</w:t>
      </w:r>
    </w:p>
    <w:p w14:paraId="51262320" w14:textId="77777777" w:rsidR="001E384C" w:rsidRDefault="001E384C">
      <w:pPr>
        <w:spacing w:before="80" w:line="360" w:lineRule="auto"/>
      </w:pPr>
    </w:p>
    <w:p w14:paraId="3F1E586B" w14:textId="77777777" w:rsidR="001E384C" w:rsidRDefault="00000000">
      <w:pPr>
        <w:spacing w:after="120" w:line="360" w:lineRule="auto"/>
        <w:jc w:val="both"/>
      </w:pPr>
      <w:r>
        <w:rPr>
          <w:rFonts w:ascii="Palatino Linotype" w:eastAsia="Palatino Linotype" w:hAnsi="Palatino Linotype" w:cs="Palatino Linotype"/>
          <w:b/>
          <w:bCs/>
          <w:color w:val="1A1A2E"/>
          <w:sz w:val="22"/>
          <w:szCs w:val="22"/>
        </w:rPr>
        <w:t>b.  Grade Requirements</w:t>
      </w:r>
    </w:p>
    <w:p w14:paraId="0A32D9E4" w14:textId="77777777" w:rsidR="001E384C" w:rsidRDefault="00000000">
      <w:pPr>
        <w:spacing w:after="80" w:line="360" w:lineRule="auto"/>
        <w:ind w:left="1080" w:hanging="360"/>
        <w:jc w:val="both"/>
      </w:pPr>
      <w:r>
        <w:rPr>
          <w:rFonts w:ascii="Palatino Linotype" w:eastAsia="Palatino Linotype" w:hAnsi="Palatino Linotype" w:cs="Palatino Linotype"/>
          <w:color w:val="1A1A2E"/>
          <w:sz w:val="22"/>
          <w:szCs w:val="22"/>
        </w:rPr>
        <w:t>i.  In courses with honors components and in the honors seminars, a student must receive a minimum grade of B+.</w:t>
      </w:r>
    </w:p>
    <w:p w14:paraId="5BDDAB36" w14:textId="77777777" w:rsidR="001E384C" w:rsidRDefault="00000000">
      <w:pPr>
        <w:spacing w:after="80" w:line="360" w:lineRule="auto"/>
        <w:ind w:left="1080" w:hanging="360"/>
        <w:jc w:val="both"/>
      </w:pPr>
      <w:r>
        <w:rPr>
          <w:rFonts w:ascii="Palatino Linotype" w:eastAsia="Palatino Linotype" w:hAnsi="Palatino Linotype" w:cs="Palatino Linotype"/>
          <w:color w:val="1A1A2E"/>
          <w:sz w:val="22"/>
          <w:szCs w:val="22"/>
        </w:rPr>
        <w:t xml:space="preserve">ii.  An honors student may receive only one grade below B+ and continue to be officially enrolled in the UHP. A second grade below B+ will disqualify a student from continued membership in the program. A student may repeat once a course with honors component or an honors </w:t>
      </w:r>
      <w:r>
        <w:rPr>
          <w:rFonts w:ascii="Palatino Linotype" w:eastAsia="Palatino Linotype" w:hAnsi="Palatino Linotype" w:cs="Palatino Linotype"/>
          <w:color w:val="1A1A2E"/>
          <w:sz w:val="22"/>
          <w:szCs w:val="22"/>
        </w:rPr>
        <w:lastRenderedPageBreak/>
        <w:t>seminar if and only if that request is approved by the committee in consultation with the relevant course faculty member and the VPAA.</w:t>
      </w:r>
    </w:p>
    <w:p w14:paraId="61FE16F9" w14:textId="77777777" w:rsidR="001E384C" w:rsidRDefault="00000000">
      <w:pPr>
        <w:spacing w:after="80" w:line="360" w:lineRule="auto"/>
        <w:ind w:left="1080" w:hanging="360"/>
        <w:jc w:val="both"/>
      </w:pPr>
      <w:r>
        <w:rPr>
          <w:rFonts w:ascii="Palatino Linotype" w:eastAsia="Palatino Linotype" w:hAnsi="Palatino Linotype" w:cs="Palatino Linotype"/>
          <w:color w:val="1A1A2E"/>
          <w:sz w:val="22"/>
          <w:szCs w:val="22"/>
        </w:rPr>
        <w:t>iii.  In internship and capstone with honors components, a student must receive a minimum grade of A-, in addition to being evaluated as having covered the honors requirement in order to remain in and complete the honors program.</w:t>
      </w:r>
    </w:p>
    <w:p w14:paraId="6BC43EEC" w14:textId="77777777" w:rsidR="001E384C" w:rsidRDefault="001E384C">
      <w:pPr>
        <w:spacing w:before="80" w:line="360" w:lineRule="auto"/>
      </w:pPr>
    </w:p>
    <w:p w14:paraId="62AED639"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c.  A student who is involved in any form of plagiarism or academic dishonesty in any AUI class will be expelled from the UHP.</w:t>
      </w:r>
    </w:p>
    <w:p w14:paraId="685D3786" w14:textId="77777777" w:rsidR="001E384C" w:rsidRDefault="001E384C">
      <w:pPr>
        <w:spacing w:before="160" w:line="360" w:lineRule="auto"/>
      </w:pPr>
    </w:p>
    <w:p w14:paraId="5B280252"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Completion Policies</w:t>
      </w:r>
    </w:p>
    <w:p w14:paraId="28EDDA2F"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a.  Students who are officially enrolled in the program and successfully complete all the program modules are eligible to receive a formal certificate indicating their participation in the honors program.</w:t>
      </w:r>
    </w:p>
    <w:p w14:paraId="47D8011C"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b.  Honors (and non-honors) students who take only some of the honors modules receive a letter documenting the extent of their participation.</w:t>
      </w:r>
    </w:p>
    <w:p w14:paraId="17F4EE6C" w14:textId="34A71654" w:rsidR="001E384C" w:rsidRDefault="00000000" w:rsidP="005C4A98">
      <w:pPr>
        <w:spacing w:after="100" w:line="360" w:lineRule="auto"/>
        <w:ind w:left="720" w:hanging="360"/>
        <w:jc w:val="both"/>
      </w:pPr>
      <w:r>
        <w:rPr>
          <w:rFonts w:ascii="Palatino Linotype" w:eastAsia="Palatino Linotype" w:hAnsi="Palatino Linotype" w:cs="Palatino Linotype"/>
          <w:color w:val="1A1A2E"/>
          <w:sz w:val="22"/>
          <w:szCs w:val="22"/>
        </w:rPr>
        <w:t>c.  An honors student who does not receive credit toward the UHP certificate, but who receives what would normally be considered a passing grade at AUI, will be considered to have earned a passing grade toward the ordinary AUI graduation requirements.</w:t>
      </w:r>
      <w:r>
        <w:br w:type="page"/>
      </w:r>
    </w:p>
    <w:p w14:paraId="2A6B532B" w14:textId="77777777" w:rsidR="001E384C" w:rsidRDefault="00000000">
      <w:pPr>
        <w:pBdr>
          <w:bottom w:val="single" w:sz="8" w:space="0" w:color="4A7C59"/>
        </w:pBdr>
        <w:shd w:val="clear" w:color="auto" w:fill="1A3D2B"/>
        <w:spacing w:before="280" w:after="60" w:line="360" w:lineRule="auto"/>
      </w:pPr>
      <w:r>
        <w:rPr>
          <w:rFonts w:ascii="Palatino Linotype" w:eastAsia="Palatino Linotype" w:hAnsi="Palatino Linotype" w:cs="Palatino Linotype"/>
          <w:b/>
          <w:bCs/>
          <w:caps/>
          <w:color w:val="FFFFFF"/>
          <w:spacing w:val="40"/>
          <w:sz w:val="26"/>
          <w:szCs w:val="26"/>
        </w:rPr>
        <w:lastRenderedPageBreak/>
        <w:t>V.  UHP Curriculum</w:t>
      </w:r>
    </w:p>
    <w:p w14:paraId="7262595B" w14:textId="77777777" w:rsidR="001E384C" w:rsidRDefault="001E384C">
      <w:pPr>
        <w:spacing w:before="120" w:line="360" w:lineRule="auto"/>
      </w:pPr>
    </w:p>
    <w:p w14:paraId="420AF5DD"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The sequence of taking the honors modules is decided individually by honors students according to their degree plan. However, there are two restrictions. First, students may not take more than two honors modules per semester; an exception can be made after approval of the committee. Second, students can take honors seminars after completing their fourth semester at AUI. There are four honors modules:</w:t>
      </w:r>
    </w:p>
    <w:p w14:paraId="3986F83A" w14:textId="77777777" w:rsidR="001E384C" w:rsidRDefault="001E384C">
      <w:pPr>
        <w:spacing w:before="80" w:line="360" w:lineRule="auto"/>
      </w:pPr>
    </w:p>
    <w:p w14:paraId="09ED93DA" w14:textId="77777777" w:rsidR="001E384C" w:rsidRDefault="00000000">
      <w:pPr>
        <w:spacing w:after="100" w:line="360" w:lineRule="auto"/>
        <w:ind w:left="720" w:hanging="360"/>
      </w:pPr>
      <w:r>
        <w:rPr>
          <w:rFonts w:ascii="Palatino Linotype" w:eastAsia="Palatino Linotype" w:hAnsi="Palatino Linotype" w:cs="Palatino Linotype"/>
          <w:color w:val="1A1A2E"/>
          <w:sz w:val="22"/>
          <w:szCs w:val="22"/>
        </w:rPr>
        <w:t>1.  Two courses with honors components</w:t>
      </w:r>
    </w:p>
    <w:p w14:paraId="7A4DD04F" w14:textId="77777777" w:rsidR="001E384C" w:rsidRDefault="00000000">
      <w:pPr>
        <w:spacing w:after="100" w:line="360" w:lineRule="auto"/>
        <w:ind w:left="720" w:hanging="360"/>
      </w:pPr>
      <w:r>
        <w:rPr>
          <w:rFonts w:ascii="Palatino Linotype" w:eastAsia="Palatino Linotype" w:hAnsi="Palatino Linotype" w:cs="Palatino Linotype"/>
          <w:color w:val="1A1A2E"/>
          <w:sz w:val="22"/>
          <w:szCs w:val="22"/>
        </w:rPr>
        <w:t>2.  One interdisciplinary honors seminar (offered in the fall and spring)</w:t>
      </w:r>
    </w:p>
    <w:p w14:paraId="163D56CB" w14:textId="77777777" w:rsidR="001E384C" w:rsidRDefault="00000000">
      <w:pPr>
        <w:spacing w:after="100" w:line="360" w:lineRule="auto"/>
        <w:ind w:left="720" w:hanging="360"/>
      </w:pPr>
      <w:r>
        <w:rPr>
          <w:rFonts w:ascii="Palatino Linotype" w:eastAsia="Palatino Linotype" w:hAnsi="Palatino Linotype" w:cs="Palatino Linotype"/>
          <w:color w:val="1A1A2E"/>
          <w:sz w:val="22"/>
          <w:szCs w:val="22"/>
        </w:rPr>
        <w:t>3.  Internship with honors component</w:t>
      </w:r>
    </w:p>
    <w:p w14:paraId="4A377965" w14:textId="77777777" w:rsidR="001E384C" w:rsidRDefault="00000000">
      <w:pPr>
        <w:spacing w:after="100" w:line="360" w:lineRule="auto"/>
        <w:ind w:left="720" w:hanging="360"/>
      </w:pPr>
      <w:r>
        <w:rPr>
          <w:rFonts w:ascii="Palatino Linotype" w:eastAsia="Palatino Linotype" w:hAnsi="Palatino Linotype" w:cs="Palatino Linotype"/>
          <w:color w:val="1A1A2E"/>
          <w:sz w:val="22"/>
          <w:szCs w:val="22"/>
        </w:rPr>
        <w:t>4.  Capstone with honors component</w:t>
      </w:r>
    </w:p>
    <w:p w14:paraId="4D38F4C0" w14:textId="77777777" w:rsidR="001E384C" w:rsidRDefault="001E384C">
      <w:pPr>
        <w:spacing w:before="80" w:line="360" w:lineRule="auto"/>
      </w:pPr>
    </w:p>
    <w:p w14:paraId="1D125A85" w14:textId="77777777" w:rsidR="001E384C" w:rsidRDefault="00000000">
      <w:pPr>
        <w:pBdr>
          <w:top w:val="single" w:sz="1" w:space="2" w:color="C5D3EE"/>
          <w:left w:val="single" w:sz="12" w:space="4" w:color="2D6A4F"/>
          <w:bottom w:val="single" w:sz="1" w:space="2" w:color="C5D3EE"/>
          <w:right w:val="none" w:sz="0" w:space="0" w:color="FFFFFF"/>
        </w:pBdr>
        <w:shd w:val="clear" w:color="auto" w:fill="EAF2ED"/>
        <w:spacing w:before="120" w:after="120" w:line="360" w:lineRule="auto"/>
        <w:ind w:left="360"/>
        <w:jc w:val="both"/>
      </w:pPr>
      <w:r>
        <w:rPr>
          <w:rFonts w:ascii="Palatino Linotype" w:eastAsia="Palatino Linotype" w:hAnsi="Palatino Linotype" w:cs="Palatino Linotype"/>
          <w:color w:val="1A1A2E"/>
          <w:sz w:val="22"/>
          <w:szCs w:val="22"/>
        </w:rPr>
        <w:t>Transcript information: Each honors module is denoted by the letter ‘H’ appended to the course code on a student’s official transcript.</w:t>
      </w:r>
    </w:p>
    <w:p w14:paraId="642761F4" w14:textId="77777777" w:rsidR="001E384C" w:rsidRDefault="001E384C">
      <w:pPr>
        <w:spacing w:before="200" w:line="360" w:lineRule="auto"/>
      </w:pPr>
    </w:p>
    <w:p w14:paraId="55E5ABF9"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1.  Courses with Honors Components (CHC)</w:t>
      </w:r>
    </w:p>
    <w:p w14:paraId="67036398"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CHC are regular existing courses in which honors students enter into a preliminary agreement with the instructor to do extra work for honors credit. CHC involve more intensive coverage of advanced topics not treated in the corresponding non-honors section and/or a research component requiring the initiative of the student; it is the type of work assigned sometimes to graduate students who take undergraduate courses. Students must plan ahead in consultation with their advisors and the undergraduate coordinators of their respective schools in order to ensure that their degree plans will allow them to complete the program on schedule.</w:t>
      </w:r>
    </w:p>
    <w:p w14:paraId="0810ACE4" w14:textId="77777777" w:rsidR="001E384C" w:rsidRDefault="001E384C">
      <w:pPr>
        <w:spacing w:before="120" w:line="360" w:lineRule="auto"/>
      </w:pPr>
    </w:p>
    <w:p w14:paraId="02C5652C"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Terms for Converting Regular Courses into CHC</w:t>
      </w:r>
    </w:p>
    <w:p w14:paraId="69C70141"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a.  CHC must be at the 2000 level and above, preferably in students’ major and/or minor.</w:t>
      </w:r>
    </w:p>
    <w:p w14:paraId="12880445"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lastRenderedPageBreak/>
        <w:t>b.  Students who are already enrolled in the program and plan to enroll in a CHC, as well as students who are planning to apply to the program and enroll in a CHC during the same semester, must contact the respective professors. Students should start this process for approval of the course and faculty in advance, during the pre-registration period of the semester in which they plan on taking the course.</w:t>
      </w:r>
    </w:p>
    <w:p w14:paraId="07187388"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c.  Students who plan to take a CHC must ask their respective professors to submit to the UHP coordinator the course syllabus along with an appended description (see the Appendix) of the extra honors work (readings, tasks, assignments, etc.) and method of evaluation. The amount of the additional work should consist of approximately 20% of the regular course load. This estimation is not only in terms of quantity, but also quality.</w:t>
      </w:r>
    </w:p>
    <w:p w14:paraId="5014DF2E"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d.  In CHC, a student receives a single ‘course-and-honors’ grade (80% + 20%), i.e., the honors grade is incorporated into the overall course grade.</w:t>
      </w:r>
    </w:p>
    <w:p w14:paraId="4BC2B915"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e.  Conversion to CHC should take place not later than the fourth (4th) week of the current semester. Therefore, the course syllabus and honors appendix should be submitted not later than the Friday of the second (2nd) week of the semester. This allows the honors committee to evaluate and presumably approve the syllabus and honors addendum by the fourth (4th) week.</w:t>
      </w:r>
    </w:p>
    <w:p w14:paraId="08433E83"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f.  It might be possible for designated honors courses taken at foreign universities during a study abroad program to count as CHC, but these courses are subject to the same scrutiny by the honors committee that governs courses at AUI. To be assured of completing the program, students should plan to fulfill all their UHP requirements while in residence at AUI.</w:t>
      </w:r>
    </w:p>
    <w:p w14:paraId="16C1DFF0" w14:textId="77777777" w:rsidR="001E384C" w:rsidRDefault="001E384C">
      <w:pPr>
        <w:spacing w:before="200" w:line="360" w:lineRule="auto"/>
      </w:pPr>
    </w:p>
    <w:p w14:paraId="26B8C471"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2.  Honors Seminar</w:t>
      </w:r>
    </w:p>
    <w:p w14:paraId="1954FD1E"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The honors seminar is a discussion-based course in which a small group of students debate important topics. The seminar requires the active participation of all students.</w:t>
      </w:r>
    </w:p>
    <w:p w14:paraId="6C7F281C" w14:textId="77777777" w:rsidR="001E384C" w:rsidRDefault="001E384C">
      <w:pPr>
        <w:spacing w:before="80" w:line="360" w:lineRule="auto"/>
      </w:pPr>
    </w:p>
    <w:p w14:paraId="6532AD8F"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 xml:space="preserve">The seminar is interdisciplinary in nature, meaning that it introduces students to important authors from multiple subjects. The focus (theme) of the seminar is different each semester. Honors seminars are taught by several faculty members. An additional module is reserved for ethics and interdisciplinary </w:t>
      </w:r>
      <w:r>
        <w:rPr>
          <w:rFonts w:ascii="Palatino Linotype" w:eastAsia="Palatino Linotype" w:hAnsi="Palatino Linotype" w:cs="Palatino Linotype"/>
          <w:color w:val="1A1A2E"/>
          <w:sz w:val="22"/>
          <w:szCs w:val="22"/>
        </w:rPr>
        <w:lastRenderedPageBreak/>
        <w:t>training. Because honors seminars emphasize active engagement over rote learning, evaluation of students is based predominantly on their participation in the seminar in addition to any work assigned by the instructor. The seminar counts as the Humanities requirement under the University’s General Education Requirements.</w:t>
      </w:r>
    </w:p>
    <w:p w14:paraId="64393CA9" w14:textId="77777777" w:rsidR="001E384C" w:rsidRDefault="001E384C">
      <w:pPr>
        <w:spacing w:before="80" w:line="360" w:lineRule="auto"/>
      </w:pPr>
    </w:p>
    <w:p w14:paraId="02D906F3"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It is the responsibility of students to plan well ahead to ensure that they will be able to complete the honors seminar prior to graduation. Students with a Moroccan baccalaureate who have to satisfy Arabic language requirements through a content course taught in Arabic may not take the honors seminar in replacement of the following courses: HUM 2303, HUM 2304, LIT 2304, or LIT (the “HUM I” Arabic courses in the University Core). Therefore, for this category of students, only “HUM II,” (i.e., HUM2305, HUM2306, PHI2301, PHI2302) can be replaced with the honors seminar. Students with a non-Moroccan baccalaureate (French baccalaureate, international baccalaureate, other high school diplomas) can take the honors seminar in place of either HUM I or HUM II.</w:t>
      </w:r>
    </w:p>
    <w:p w14:paraId="5AEC4CCD" w14:textId="77777777" w:rsidR="001E384C" w:rsidRDefault="001E384C">
      <w:pPr>
        <w:spacing w:before="200" w:line="360" w:lineRule="auto"/>
      </w:pPr>
    </w:p>
    <w:p w14:paraId="364B3AFA"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3.  Internship with Honors Component</w:t>
      </w:r>
    </w:p>
    <w:p w14:paraId="7F2265E1"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The term ‘honors internship’ denotes the honors component that students must complete as part of and in addition to their school internship. The honors internship seeks to test students’ individual growth and skills to bridge theoretical thinking with involvement in professional experience on a level deeper than the non-honors internship. The distinction between an honors internship and a regular internship is the reflection of the student on the ethical aspect of the work he or she has been doing during the period of the internship.</w:t>
      </w:r>
    </w:p>
    <w:p w14:paraId="65AB5981" w14:textId="77777777" w:rsidR="001E384C" w:rsidRDefault="001E384C">
      <w:pPr>
        <w:spacing w:before="120" w:line="360" w:lineRule="auto"/>
      </w:pPr>
    </w:p>
    <w:p w14:paraId="799591EF"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General and Honors Internship Conditions</w:t>
      </w:r>
    </w:p>
    <w:p w14:paraId="7A0C897D"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w:t>
      </w:r>
      <w:r>
        <w:rPr>
          <w:rFonts w:ascii="Palatino Linotype" w:eastAsia="Palatino Linotype" w:hAnsi="Palatino Linotype" w:cs="Palatino Linotype"/>
          <w:color w:val="1A1A2E"/>
          <w:sz w:val="22"/>
          <w:szCs w:val="22"/>
        </w:rPr>
        <w:tab/>
        <w:t>Generally, AUI internships are full-time jobs, 40 hours per week for a minimum of 8 weeks (320 hrs.). Students doing the internship in summer cannot enroll simultaneously in AUI summer courses. Students pursuing internships must have senior standing.</w:t>
      </w:r>
    </w:p>
    <w:p w14:paraId="4E03706D"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lastRenderedPageBreak/>
        <w:t>•</w:t>
      </w:r>
      <w:r>
        <w:rPr>
          <w:rFonts w:ascii="Palatino Linotype" w:eastAsia="Palatino Linotype" w:hAnsi="Palatino Linotype" w:cs="Palatino Linotype"/>
          <w:color w:val="1A1A2E"/>
          <w:sz w:val="22"/>
          <w:szCs w:val="22"/>
        </w:rPr>
        <w:tab/>
        <w:t>If an honors student’s internship takes place in the summer, that student must register for the honors section INT4300 H or EGR 4300 H in the fall semester immediately following the internship.</w:t>
      </w:r>
    </w:p>
    <w:p w14:paraId="74FCF4B7"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w:t>
      </w:r>
      <w:r>
        <w:rPr>
          <w:rFonts w:ascii="Palatino Linotype" w:eastAsia="Palatino Linotype" w:hAnsi="Palatino Linotype" w:cs="Palatino Linotype"/>
          <w:color w:val="1A1A2E"/>
          <w:sz w:val="22"/>
          <w:szCs w:val="22"/>
        </w:rPr>
        <w:tab/>
        <w:t>Honors students may choose the combined internship-capstone option if their respective school or program allows them to do so. Students who choose the combined option must comply with the requirements established by their school or program.</w:t>
      </w:r>
    </w:p>
    <w:p w14:paraId="2744F8A2" w14:textId="77777777" w:rsidR="001E384C" w:rsidRDefault="001E384C">
      <w:pPr>
        <w:spacing w:before="120" w:line="360" w:lineRule="auto"/>
      </w:pPr>
    </w:p>
    <w:p w14:paraId="1C0324C3"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Honors Internship Documents and Their Grade Weight</w:t>
      </w:r>
    </w:p>
    <w:p w14:paraId="3FA61260"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In order to receive a passing grade for the internship, honors internship portfolios must include the following documents:</w:t>
      </w:r>
    </w:p>
    <w:p w14:paraId="611BB5EE" w14:textId="77777777" w:rsidR="001E384C" w:rsidRDefault="001E384C">
      <w:pPr>
        <w:spacing w:before="8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360"/>
      </w:tblGrid>
      <w:tr w:rsidR="001E384C" w14:paraId="6905E7D4" w14:textId="77777777">
        <w:tc>
          <w:tcPr>
            <w:tcW w:w="6000" w:type="dxa"/>
            <w:tcBorders>
              <w:top w:val="single" w:sz="1" w:space="0" w:color="D0D9EC"/>
              <w:left w:val="single" w:sz="1" w:space="0" w:color="D0D9EC"/>
              <w:bottom w:val="single" w:sz="1" w:space="0" w:color="D0D9EC"/>
              <w:right w:val="single" w:sz="1" w:space="0" w:color="D0D9EC"/>
            </w:tcBorders>
            <w:shd w:val="clear" w:color="auto" w:fill="1A3D2B"/>
            <w:tcMar>
              <w:top w:w="80" w:type="dxa"/>
              <w:left w:w="160" w:type="dxa"/>
              <w:bottom w:w="80" w:type="dxa"/>
              <w:right w:w="120" w:type="dxa"/>
            </w:tcMar>
          </w:tcPr>
          <w:p w14:paraId="7F1F491E" w14:textId="77777777" w:rsidR="001E384C" w:rsidRDefault="00000000">
            <w:r>
              <w:rPr>
                <w:rFonts w:ascii="Palatino Linotype" w:eastAsia="Palatino Linotype" w:hAnsi="Palatino Linotype" w:cs="Palatino Linotype"/>
                <w:b/>
                <w:bCs/>
                <w:color w:val="FFFFFF"/>
                <w:sz w:val="22"/>
                <w:szCs w:val="22"/>
              </w:rPr>
              <w:t>Document</w:t>
            </w:r>
          </w:p>
        </w:tc>
        <w:tc>
          <w:tcPr>
            <w:tcW w:w="3360" w:type="dxa"/>
            <w:tcBorders>
              <w:top w:val="single" w:sz="1" w:space="0" w:color="D0D9EC"/>
              <w:left w:val="single" w:sz="1" w:space="0" w:color="D0D9EC"/>
              <w:bottom w:val="single" w:sz="1" w:space="0" w:color="D0D9EC"/>
              <w:right w:val="single" w:sz="1" w:space="0" w:color="D0D9EC"/>
            </w:tcBorders>
            <w:shd w:val="clear" w:color="auto" w:fill="1A3D2B"/>
            <w:tcMar>
              <w:top w:w="80" w:type="dxa"/>
              <w:left w:w="160" w:type="dxa"/>
              <w:bottom w:w="80" w:type="dxa"/>
              <w:right w:w="120" w:type="dxa"/>
            </w:tcMar>
            <w:vAlign w:val="center"/>
          </w:tcPr>
          <w:p w14:paraId="6E45060C" w14:textId="77777777" w:rsidR="001E384C" w:rsidRDefault="00000000">
            <w:pPr>
              <w:jc w:val="center"/>
            </w:pPr>
            <w:r>
              <w:rPr>
                <w:rFonts w:ascii="Palatino Linotype" w:eastAsia="Palatino Linotype" w:hAnsi="Palatino Linotype" w:cs="Palatino Linotype"/>
                <w:b/>
                <w:bCs/>
                <w:color w:val="FFFFFF"/>
                <w:sz w:val="22"/>
                <w:szCs w:val="22"/>
              </w:rPr>
              <w:t>Points</w:t>
            </w:r>
          </w:p>
        </w:tc>
      </w:tr>
      <w:tr w:rsidR="001E384C" w14:paraId="097BB79E" w14:textId="77777777">
        <w:tc>
          <w:tcPr>
            <w:tcW w:w="600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tcPr>
          <w:p w14:paraId="229B9865" w14:textId="77777777" w:rsidR="001E384C" w:rsidRDefault="00000000">
            <w:r>
              <w:rPr>
                <w:rFonts w:ascii="Palatino Linotype" w:eastAsia="Palatino Linotype" w:hAnsi="Palatino Linotype" w:cs="Palatino Linotype"/>
                <w:color w:val="1A1A2E"/>
                <w:sz w:val="22"/>
                <w:szCs w:val="22"/>
              </w:rPr>
              <w:t>a.  Honors internship proposal — form and intention</w:t>
            </w:r>
          </w:p>
        </w:tc>
        <w:tc>
          <w:tcPr>
            <w:tcW w:w="336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vAlign w:val="center"/>
          </w:tcPr>
          <w:p w14:paraId="46320F24" w14:textId="77777777" w:rsidR="001E384C" w:rsidRDefault="00000000">
            <w:pPr>
              <w:jc w:val="center"/>
            </w:pPr>
            <w:r>
              <w:rPr>
                <w:rFonts w:ascii="Palatino Linotype" w:eastAsia="Palatino Linotype" w:hAnsi="Palatino Linotype" w:cs="Palatino Linotype"/>
                <w:color w:val="1A1A2E"/>
                <w:sz w:val="22"/>
                <w:szCs w:val="22"/>
              </w:rPr>
              <w:t>20</w:t>
            </w:r>
          </w:p>
        </w:tc>
      </w:tr>
      <w:tr w:rsidR="001E384C" w14:paraId="4BF01C9A" w14:textId="77777777">
        <w:tc>
          <w:tcPr>
            <w:tcW w:w="6000" w:type="dxa"/>
            <w:tcBorders>
              <w:top w:val="single" w:sz="1" w:space="0" w:color="D0D9EC"/>
              <w:left w:val="single" w:sz="1" w:space="0" w:color="D0D9EC"/>
              <w:bottom w:val="single" w:sz="1" w:space="0" w:color="D0D9EC"/>
              <w:right w:val="single" w:sz="1" w:space="0" w:color="D0D9EC"/>
            </w:tcBorders>
            <w:shd w:val="clear" w:color="auto" w:fill="EAF2ED"/>
            <w:tcMar>
              <w:top w:w="80" w:type="dxa"/>
              <w:left w:w="160" w:type="dxa"/>
              <w:bottom w:w="80" w:type="dxa"/>
              <w:right w:w="120" w:type="dxa"/>
            </w:tcMar>
          </w:tcPr>
          <w:p w14:paraId="6A3FCC36" w14:textId="77777777" w:rsidR="001E384C" w:rsidRDefault="00000000">
            <w:r>
              <w:rPr>
                <w:rFonts w:ascii="Palatino Linotype" w:eastAsia="Palatino Linotype" w:hAnsi="Palatino Linotype" w:cs="Palatino Linotype"/>
                <w:color w:val="1A1A2E"/>
                <w:sz w:val="22"/>
                <w:szCs w:val="22"/>
              </w:rPr>
              <w:t>b.  Internship report with the honors (ethics) component included</w:t>
            </w:r>
          </w:p>
        </w:tc>
        <w:tc>
          <w:tcPr>
            <w:tcW w:w="3360" w:type="dxa"/>
            <w:tcBorders>
              <w:top w:val="single" w:sz="1" w:space="0" w:color="D0D9EC"/>
              <w:left w:val="single" w:sz="1" w:space="0" w:color="D0D9EC"/>
              <w:bottom w:val="single" w:sz="1" w:space="0" w:color="D0D9EC"/>
              <w:right w:val="single" w:sz="1" w:space="0" w:color="D0D9EC"/>
            </w:tcBorders>
            <w:shd w:val="clear" w:color="auto" w:fill="EAF2ED"/>
            <w:tcMar>
              <w:top w:w="80" w:type="dxa"/>
              <w:left w:w="160" w:type="dxa"/>
              <w:bottom w:w="80" w:type="dxa"/>
              <w:right w:w="120" w:type="dxa"/>
            </w:tcMar>
            <w:vAlign w:val="center"/>
          </w:tcPr>
          <w:p w14:paraId="2C8A2D14" w14:textId="77777777" w:rsidR="001E384C" w:rsidRDefault="00000000">
            <w:pPr>
              <w:jc w:val="center"/>
            </w:pPr>
            <w:r>
              <w:rPr>
                <w:rFonts w:ascii="Palatino Linotype" w:eastAsia="Palatino Linotype" w:hAnsi="Palatino Linotype" w:cs="Palatino Linotype"/>
                <w:color w:val="1A1A2E"/>
                <w:sz w:val="22"/>
                <w:szCs w:val="22"/>
              </w:rPr>
              <w:t>40</w:t>
            </w:r>
          </w:p>
        </w:tc>
      </w:tr>
      <w:tr w:rsidR="001E384C" w14:paraId="56B663EF" w14:textId="77777777">
        <w:tc>
          <w:tcPr>
            <w:tcW w:w="600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tcPr>
          <w:p w14:paraId="55860C99" w14:textId="77777777" w:rsidR="001E384C" w:rsidRDefault="00000000">
            <w:r>
              <w:rPr>
                <w:rFonts w:ascii="Palatino Linotype" w:eastAsia="Palatino Linotype" w:hAnsi="Palatino Linotype" w:cs="Palatino Linotype"/>
                <w:color w:val="1A1A2E"/>
                <w:sz w:val="22"/>
                <w:szCs w:val="22"/>
              </w:rPr>
              <w:t>c.  Honors internship presentation (performance and file)</w:t>
            </w:r>
          </w:p>
        </w:tc>
        <w:tc>
          <w:tcPr>
            <w:tcW w:w="336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vAlign w:val="center"/>
          </w:tcPr>
          <w:p w14:paraId="129E1C75" w14:textId="77777777" w:rsidR="001E384C" w:rsidRDefault="00000000">
            <w:pPr>
              <w:jc w:val="center"/>
            </w:pPr>
            <w:r>
              <w:rPr>
                <w:rFonts w:ascii="Palatino Linotype" w:eastAsia="Palatino Linotype" w:hAnsi="Palatino Linotype" w:cs="Palatino Linotype"/>
                <w:color w:val="1A1A2E"/>
                <w:sz w:val="22"/>
                <w:szCs w:val="22"/>
              </w:rPr>
              <w:t>40</w:t>
            </w:r>
          </w:p>
        </w:tc>
      </w:tr>
      <w:tr w:rsidR="001E384C" w14:paraId="4EC1708D" w14:textId="77777777">
        <w:tc>
          <w:tcPr>
            <w:tcW w:w="6000" w:type="dxa"/>
            <w:tcBorders>
              <w:top w:val="single" w:sz="1" w:space="0" w:color="D0D9EC"/>
              <w:left w:val="single" w:sz="1" w:space="0" w:color="D0D9EC"/>
              <w:bottom w:val="single" w:sz="1" w:space="0" w:color="D0D9EC"/>
              <w:right w:val="single" w:sz="1" w:space="0" w:color="D0D9EC"/>
            </w:tcBorders>
            <w:shd w:val="clear" w:color="auto" w:fill="EAF2ED"/>
            <w:tcMar>
              <w:top w:w="80" w:type="dxa"/>
              <w:left w:w="160" w:type="dxa"/>
              <w:bottom w:w="80" w:type="dxa"/>
              <w:right w:w="120" w:type="dxa"/>
            </w:tcMar>
          </w:tcPr>
          <w:p w14:paraId="2E24A0D7" w14:textId="77777777" w:rsidR="001E384C" w:rsidRDefault="00000000">
            <w:r>
              <w:rPr>
                <w:rFonts w:ascii="Palatino Linotype" w:eastAsia="Palatino Linotype" w:hAnsi="Palatino Linotype" w:cs="Palatino Linotype"/>
                <w:color w:val="1A1A2E"/>
                <w:sz w:val="22"/>
                <w:szCs w:val="22"/>
              </w:rPr>
              <w:t>d.  School internship presentation file</w:t>
            </w:r>
          </w:p>
        </w:tc>
        <w:tc>
          <w:tcPr>
            <w:tcW w:w="3360" w:type="dxa"/>
            <w:tcBorders>
              <w:top w:val="single" w:sz="1" w:space="0" w:color="D0D9EC"/>
              <w:left w:val="single" w:sz="1" w:space="0" w:color="D0D9EC"/>
              <w:bottom w:val="single" w:sz="1" w:space="0" w:color="D0D9EC"/>
              <w:right w:val="single" w:sz="1" w:space="0" w:color="D0D9EC"/>
            </w:tcBorders>
            <w:shd w:val="clear" w:color="auto" w:fill="EAF2ED"/>
            <w:tcMar>
              <w:top w:w="80" w:type="dxa"/>
              <w:left w:w="160" w:type="dxa"/>
              <w:bottom w:w="80" w:type="dxa"/>
              <w:right w:w="120" w:type="dxa"/>
            </w:tcMar>
            <w:vAlign w:val="center"/>
          </w:tcPr>
          <w:p w14:paraId="4E3B29DA" w14:textId="77777777" w:rsidR="001E384C" w:rsidRDefault="00000000">
            <w:pPr>
              <w:jc w:val="center"/>
            </w:pPr>
            <w:r>
              <w:rPr>
                <w:rFonts w:ascii="Palatino Linotype" w:eastAsia="Palatino Linotype" w:hAnsi="Palatino Linotype" w:cs="Palatino Linotype"/>
                <w:color w:val="1A1A2E"/>
                <w:sz w:val="22"/>
                <w:szCs w:val="22"/>
              </w:rPr>
              <w:t>School-graded</w:t>
            </w:r>
          </w:p>
        </w:tc>
      </w:tr>
      <w:tr w:rsidR="001E384C" w14:paraId="6B25976A" w14:textId="77777777" w:rsidTr="00255BB7">
        <w:trPr>
          <w:trHeight w:val="765"/>
        </w:trPr>
        <w:tc>
          <w:tcPr>
            <w:tcW w:w="600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tcPr>
          <w:p w14:paraId="6E07C1B0" w14:textId="77777777" w:rsidR="001E384C" w:rsidRDefault="00000000">
            <w:r>
              <w:rPr>
                <w:rFonts w:ascii="Palatino Linotype" w:eastAsia="Palatino Linotype" w:hAnsi="Palatino Linotype" w:cs="Palatino Linotype"/>
                <w:color w:val="1A1A2E"/>
                <w:sz w:val="22"/>
                <w:szCs w:val="22"/>
              </w:rPr>
              <w:t>e.  Copy of the school internship assessment form and grade rubrics sheet</w:t>
            </w:r>
          </w:p>
        </w:tc>
        <w:tc>
          <w:tcPr>
            <w:tcW w:w="336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vAlign w:val="center"/>
          </w:tcPr>
          <w:p w14:paraId="3A9E6F6E" w14:textId="77777777" w:rsidR="001E384C" w:rsidRDefault="00000000">
            <w:pPr>
              <w:jc w:val="center"/>
            </w:pPr>
            <w:r>
              <w:rPr>
                <w:rFonts w:ascii="Palatino Linotype" w:eastAsia="Palatino Linotype" w:hAnsi="Palatino Linotype" w:cs="Palatino Linotype"/>
                <w:color w:val="1A1A2E"/>
                <w:sz w:val="22"/>
                <w:szCs w:val="22"/>
              </w:rPr>
              <w:t>—</w:t>
            </w:r>
          </w:p>
        </w:tc>
      </w:tr>
    </w:tbl>
    <w:p w14:paraId="1C2EB027" w14:textId="77777777" w:rsidR="001E384C" w:rsidRDefault="001E384C">
      <w:pPr>
        <w:spacing w:before="120" w:line="360" w:lineRule="auto"/>
      </w:pPr>
    </w:p>
    <w:p w14:paraId="46287832"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a.  Honors Internship Proposal</w:t>
      </w:r>
    </w:p>
    <w:p w14:paraId="19980091"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Honors students should have a clear internship agenda (i.e., a good idea of what they specifically hope to learn during their internship experience and how it is applicable to their future goals). For this reason, students are required to submit to the UHP coordinator an internship proposal (see the Appendix), which is different from the proposal they submit to their school. The deadline to submit the proposal is before the end of the spring semester, if they will do the internship in summer. If the internship will be done over a semester, then the proposal must be submitted before the end of the semester before the internship. The proposal should be approved by the UHP committee.</w:t>
      </w:r>
    </w:p>
    <w:p w14:paraId="775A6B73" w14:textId="77777777" w:rsidR="001E384C" w:rsidRDefault="001E384C">
      <w:pPr>
        <w:spacing w:before="120" w:line="360" w:lineRule="auto"/>
      </w:pPr>
    </w:p>
    <w:p w14:paraId="62D9247E"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lastRenderedPageBreak/>
        <w:t>b.  Internship Report with Honors (Ethics) Component</w:t>
      </w:r>
    </w:p>
    <w:p w14:paraId="3F59F06E"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The internship report follows the respective school’s general requirements in terms of formatting and content. The length of the honors component is approximately a minimum of 1,000 words. It focuses on ethics. Students assess the ethical aspect of their internship experience by following four steps. Each step must be explicitly indicated:</w:t>
      </w:r>
    </w:p>
    <w:p w14:paraId="7869930F" w14:textId="77777777" w:rsidR="001E384C" w:rsidRDefault="001E384C">
      <w:pPr>
        <w:spacing w:before="60" w:line="360" w:lineRule="auto"/>
      </w:pPr>
    </w:p>
    <w:p w14:paraId="053BA442"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w:t>
      </w:r>
      <w:r>
        <w:rPr>
          <w:rFonts w:ascii="Palatino Linotype" w:eastAsia="Palatino Linotype" w:hAnsi="Palatino Linotype" w:cs="Palatino Linotype"/>
          <w:color w:val="1A1A2E"/>
          <w:sz w:val="22"/>
          <w:szCs w:val="22"/>
        </w:rPr>
        <w:tab/>
        <w:t>Brief exposition of normative ethical standards (consult the UHP coordinator).</w:t>
      </w:r>
    </w:p>
    <w:p w14:paraId="5C192A8D"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w:t>
      </w:r>
      <w:r>
        <w:rPr>
          <w:rFonts w:ascii="Palatino Linotype" w:eastAsia="Palatino Linotype" w:hAnsi="Palatino Linotype" w:cs="Palatino Linotype"/>
          <w:color w:val="1A1A2E"/>
          <w:sz w:val="22"/>
          <w:szCs w:val="22"/>
        </w:rPr>
        <w:tab/>
        <w:t>Description of a current (or potential) ethical issue that the industry or organization in question faces. The ethical issue could be an issue that the students encountered in their work or impacted their work, or otherwise.</w:t>
      </w:r>
    </w:p>
    <w:p w14:paraId="4C82545D"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w:t>
      </w:r>
      <w:r>
        <w:rPr>
          <w:rFonts w:ascii="Palatino Linotype" w:eastAsia="Palatino Linotype" w:hAnsi="Palatino Linotype" w:cs="Palatino Linotype"/>
          <w:color w:val="1A1A2E"/>
          <w:sz w:val="22"/>
          <w:szCs w:val="22"/>
        </w:rPr>
        <w:tab/>
        <w:t>Explanation of who is impacted by that ethical issue and how, possibly (but not necessarily) including the student’s duties and responsibilities.</w:t>
      </w:r>
    </w:p>
    <w:p w14:paraId="3EEB5844"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w:t>
      </w:r>
      <w:r>
        <w:rPr>
          <w:rFonts w:ascii="Palatino Linotype" w:eastAsia="Palatino Linotype" w:hAnsi="Palatino Linotype" w:cs="Palatino Linotype"/>
          <w:color w:val="1A1A2E"/>
          <w:sz w:val="22"/>
          <w:szCs w:val="22"/>
        </w:rPr>
        <w:tab/>
        <w:t>Recommendations on how to solve that ethical issue by using one, most appropriate, normative ethical standard.</w:t>
      </w:r>
    </w:p>
    <w:p w14:paraId="65A5F26E" w14:textId="77777777" w:rsidR="001E384C" w:rsidRDefault="001E384C">
      <w:pPr>
        <w:spacing w:before="120" w:line="360" w:lineRule="auto"/>
      </w:pPr>
    </w:p>
    <w:p w14:paraId="2A525BFA"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c.  Internship Presentations</w:t>
      </w:r>
    </w:p>
    <w:p w14:paraId="349F3C85"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There are two internship presentations: school and honors. The honors presentation files should be sent at least five working days prior to the presentation days. Honors students who will be doing internships in the following summer are particularly encouraged to attend. After the student has presented the internship at his/her school and received a minimum grade of A-, the student must schedule the honors presentation (not later than five working days after the school presentation). This presentation must be attended by at least two (2) faculty members from the UHPC.</w:t>
      </w:r>
    </w:p>
    <w:p w14:paraId="5BE184B8" w14:textId="77777777" w:rsidR="001E384C" w:rsidRDefault="001E384C">
      <w:pPr>
        <w:spacing w:before="200" w:line="360" w:lineRule="auto"/>
      </w:pPr>
    </w:p>
    <w:p w14:paraId="75AD6ED7"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4.  Capstone with Honors Component</w:t>
      </w:r>
    </w:p>
    <w:p w14:paraId="198232CE"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 xml:space="preserve">To accomplish its goal of challenging highly motivated undergraduates to take education and leadership responsibilities and to prepare those students for graduate work, the UHP requires all students in the program to take on a particularly ambitious capstone project that goes above and beyond the regular capstone requirements of their individual schools. In general, capstone projects by students in the UHP </w:t>
      </w:r>
      <w:r>
        <w:rPr>
          <w:rFonts w:ascii="Palatino Linotype" w:eastAsia="Palatino Linotype" w:hAnsi="Palatino Linotype" w:cs="Palatino Linotype"/>
          <w:color w:val="1A1A2E"/>
          <w:sz w:val="22"/>
          <w:szCs w:val="22"/>
        </w:rPr>
        <w:lastRenderedPageBreak/>
        <w:t>must meet the following two criteria in addition to the regular requirements set by each of the three schools:</w:t>
      </w:r>
    </w:p>
    <w:p w14:paraId="32E3D6B0" w14:textId="77777777" w:rsidR="001E384C" w:rsidRDefault="001E384C">
      <w:pPr>
        <w:spacing w:before="60" w:line="360" w:lineRule="auto"/>
      </w:pPr>
    </w:p>
    <w:p w14:paraId="69AFED36"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w:t>
      </w:r>
      <w:r>
        <w:rPr>
          <w:rFonts w:ascii="Palatino Linotype" w:eastAsia="Palatino Linotype" w:hAnsi="Palatino Linotype" w:cs="Palatino Linotype"/>
          <w:color w:val="1A1A2E"/>
          <w:sz w:val="22"/>
          <w:szCs w:val="22"/>
        </w:rPr>
        <w:tab/>
        <w:t>Research and/or interdisciplinary research</w:t>
      </w:r>
    </w:p>
    <w:p w14:paraId="1D2C1134" w14:textId="77777777" w:rsidR="001E384C" w:rsidRDefault="00000000">
      <w:pPr>
        <w:spacing w:after="100" w:line="360" w:lineRule="auto"/>
        <w:ind w:left="720" w:hanging="360"/>
        <w:jc w:val="both"/>
      </w:pPr>
      <w:r>
        <w:rPr>
          <w:rFonts w:ascii="Palatino Linotype" w:eastAsia="Palatino Linotype" w:hAnsi="Palatino Linotype" w:cs="Palatino Linotype"/>
          <w:color w:val="1A1A2E"/>
          <w:sz w:val="22"/>
          <w:szCs w:val="22"/>
        </w:rPr>
        <w:t>•</w:t>
      </w:r>
      <w:r>
        <w:rPr>
          <w:rFonts w:ascii="Palatino Linotype" w:eastAsia="Palatino Linotype" w:hAnsi="Palatino Linotype" w:cs="Palatino Linotype"/>
          <w:color w:val="1A1A2E"/>
          <w:sz w:val="22"/>
          <w:szCs w:val="22"/>
        </w:rPr>
        <w:tab/>
        <w:t>Address ethical issues relevant to the topic</w:t>
      </w:r>
    </w:p>
    <w:p w14:paraId="3E9CB089" w14:textId="77777777" w:rsidR="001E384C" w:rsidRDefault="001E384C">
      <w:pPr>
        <w:spacing w:before="120" w:line="360" w:lineRule="auto"/>
      </w:pPr>
    </w:p>
    <w:p w14:paraId="1C2D5DE6"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Honors Capstone Documents and Their Grade Weight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360"/>
      </w:tblGrid>
      <w:tr w:rsidR="001E384C" w14:paraId="7B4914E6" w14:textId="77777777">
        <w:tc>
          <w:tcPr>
            <w:tcW w:w="6000" w:type="dxa"/>
            <w:tcBorders>
              <w:top w:val="single" w:sz="1" w:space="0" w:color="D0D9EC"/>
              <w:left w:val="single" w:sz="1" w:space="0" w:color="D0D9EC"/>
              <w:bottom w:val="single" w:sz="1" w:space="0" w:color="D0D9EC"/>
              <w:right w:val="single" w:sz="1" w:space="0" w:color="D0D9EC"/>
            </w:tcBorders>
            <w:shd w:val="clear" w:color="auto" w:fill="1A3D2B"/>
            <w:tcMar>
              <w:top w:w="80" w:type="dxa"/>
              <w:left w:w="160" w:type="dxa"/>
              <w:bottom w:w="80" w:type="dxa"/>
              <w:right w:w="120" w:type="dxa"/>
            </w:tcMar>
          </w:tcPr>
          <w:p w14:paraId="13780A23" w14:textId="77777777" w:rsidR="001E384C" w:rsidRDefault="00000000">
            <w:r>
              <w:rPr>
                <w:rFonts w:ascii="Palatino Linotype" w:eastAsia="Palatino Linotype" w:hAnsi="Palatino Linotype" w:cs="Palatino Linotype"/>
                <w:b/>
                <w:bCs/>
                <w:color w:val="FFFFFF"/>
                <w:sz w:val="22"/>
                <w:szCs w:val="22"/>
              </w:rPr>
              <w:t>Document</w:t>
            </w:r>
          </w:p>
        </w:tc>
        <w:tc>
          <w:tcPr>
            <w:tcW w:w="3360" w:type="dxa"/>
            <w:tcBorders>
              <w:top w:val="single" w:sz="1" w:space="0" w:color="D0D9EC"/>
              <w:left w:val="single" w:sz="1" w:space="0" w:color="D0D9EC"/>
              <w:bottom w:val="single" w:sz="1" w:space="0" w:color="D0D9EC"/>
              <w:right w:val="single" w:sz="1" w:space="0" w:color="D0D9EC"/>
            </w:tcBorders>
            <w:shd w:val="clear" w:color="auto" w:fill="1A3D2B"/>
            <w:tcMar>
              <w:top w:w="80" w:type="dxa"/>
              <w:left w:w="160" w:type="dxa"/>
              <w:bottom w:w="80" w:type="dxa"/>
              <w:right w:w="120" w:type="dxa"/>
            </w:tcMar>
            <w:vAlign w:val="center"/>
          </w:tcPr>
          <w:p w14:paraId="7F29A26C" w14:textId="77777777" w:rsidR="001E384C" w:rsidRDefault="00000000">
            <w:pPr>
              <w:jc w:val="center"/>
            </w:pPr>
            <w:r>
              <w:rPr>
                <w:rFonts w:ascii="Palatino Linotype" w:eastAsia="Palatino Linotype" w:hAnsi="Palatino Linotype" w:cs="Palatino Linotype"/>
                <w:b/>
                <w:bCs/>
                <w:color w:val="FFFFFF"/>
                <w:sz w:val="22"/>
                <w:szCs w:val="22"/>
              </w:rPr>
              <w:t>Points</w:t>
            </w:r>
          </w:p>
        </w:tc>
      </w:tr>
      <w:tr w:rsidR="001E384C" w14:paraId="4DE8B9AE" w14:textId="77777777">
        <w:tc>
          <w:tcPr>
            <w:tcW w:w="600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tcPr>
          <w:p w14:paraId="3DB3AB93" w14:textId="77777777" w:rsidR="001E384C" w:rsidRDefault="00000000">
            <w:r>
              <w:rPr>
                <w:rFonts w:ascii="Palatino Linotype" w:eastAsia="Palatino Linotype" w:hAnsi="Palatino Linotype" w:cs="Palatino Linotype"/>
                <w:color w:val="1A1A2E"/>
                <w:sz w:val="22"/>
                <w:szCs w:val="22"/>
              </w:rPr>
              <w:t>a.  Capstone proposal</w:t>
            </w:r>
          </w:p>
        </w:tc>
        <w:tc>
          <w:tcPr>
            <w:tcW w:w="336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vAlign w:val="center"/>
          </w:tcPr>
          <w:p w14:paraId="30C9EF29" w14:textId="77777777" w:rsidR="001E384C" w:rsidRDefault="00000000">
            <w:pPr>
              <w:jc w:val="center"/>
            </w:pPr>
            <w:r>
              <w:rPr>
                <w:rFonts w:ascii="Palatino Linotype" w:eastAsia="Palatino Linotype" w:hAnsi="Palatino Linotype" w:cs="Palatino Linotype"/>
                <w:color w:val="1A1A2E"/>
                <w:sz w:val="22"/>
                <w:szCs w:val="22"/>
              </w:rPr>
              <w:t>30</w:t>
            </w:r>
          </w:p>
        </w:tc>
      </w:tr>
      <w:tr w:rsidR="001E384C" w14:paraId="4AD7A32F" w14:textId="77777777">
        <w:tc>
          <w:tcPr>
            <w:tcW w:w="6000" w:type="dxa"/>
            <w:tcBorders>
              <w:top w:val="single" w:sz="1" w:space="0" w:color="D0D9EC"/>
              <w:left w:val="single" w:sz="1" w:space="0" w:color="D0D9EC"/>
              <w:bottom w:val="single" w:sz="1" w:space="0" w:color="D0D9EC"/>
              <w:right w:val="single" w:sz="1" w:space="0" w:color="D0D9EC"/>
            </w:tcBorders>
            <w:shd w:val="clear" w:color="auto" w:fill="EAF2ED"/>
            <w:tcMar>
              <w:top w:w="80" w:type="dxa"/>
              <w:left w:w="160" w:type="dxa"/>
              <w:bottom w:w="80" w:type="dxa"/>
              <w:right w:w="120" w:type="dxa"/>
            </w:tcMar>
          </w:tcPr>
          <w:p w14:paraId="7428347B" w14:textId="77777777" w:rsidR="001E384C" w:rsidRDefault="00000000">
            <w:r>
              <w:rPr>
                <w:rFonts w:ascii="Palatino Linotype" w:eastAsia="Palatino Linotype" w:hAnsi="Palatino Linotype" w:cs="Palatino Linotype"/>
                <w:color w:val="1A1A2E"/>
                <w:sz w:val="22"/>
                <w:szCs w:val="22"/>
              </w:rPr>
              <w:t>b.  Capstone paper with honors components included</w:t>
            </w:r>
          </w:p>
        </w:tc>
        <w:tc>
          <w:tcPr>
            <w:tcW w:w="3360" w:type="dxa"/>
            <w:tcBorders>
              <w:top w:val="single" w:sz="1" w:space="0" w:color="D0D9EC"/>
              <w:left w:val="single" w:sz="1" w:space="0" w:color="D0D9EC"/>
              <w:bottom w:val="single" w:sz="1" w:space="0" w:color="D0D9EC"/>
              <w:right w:val="single" w:sz="1" w:space="0" w:color="D0D9EC"/>
            </w:tcBorders>
            <w:shd w:val="clear" w:color="auto" w:fill="EAF2ED"/>
            <w:tcMar>
              <w:top w:w="80" w:type="dxa"/>
              <w:left w:w="160" w:type="dxa"/>
              <w:bottom w:w="80" w:type="dxa"/>
              <w:right w:w="120" w:type="dxa"/>
            </w:tcMar>
            <w:vAlign w:val="center"/>
          </w:tcPr>
          <w:p w14:paraId="45723E95" w14:textId="77777777" w:rsidR="001E384C" w:rsidRDefault="00000000">
            <w:pPr>
              <w:jc w:val="center"/>
            </w:pPr>
            <w:r>
              <w:rPr>
                <w:rFonts w:ascii="Palatino Linotype" w:eastAsia="Palatino Linotype" w:hAnsi="Palatino Linotype" w:cs="Palatino Linotype"/>
                <w:color w:val="1A1A2E"/>
                <w:sz w:val="22"/>
                <w:szCs w:val="22"/>
              </w:rPr>
              <w:t>40</w:t>
            </w:r>
          </w:p>
        </w:tc>
      </w:tr>
      <w:tr w:rsidR="001E384C" w14:paraId="639F5206" w14:textId="77777777">
        <w:tc>
          <w:tcPr>
            <w:tcW w:w="600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tcPr>
          <w:p w14:paraId="4D9C1FBC" w14:textId="77777777" w:rsidR="001E384C" w:rsidRDefault="00000000">
            <w:r>
              <w:rPr>
                <w:rFonts w:ascii="Palatino Linotype" w:eastAsia="Palatino Linotype" w:hAnsi="Palatino Linotype" w:cs="Palatino Linotype"/>
                <w:color w:val="1A1A2E"/>
                <w:sz w:val="22"/>
                <w:szCs w:val="22"/>
              </w:rPr>
              <w:t>c.  Honors capstone presentation file</w:t>
            </w:r>
          </w:p>
        </w:tc>
        <w:tc>
          <w:tcPr>
            <w:tcW w:w="336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vAlign w:val="center"/>
          </w:tcPr>
          <w:p w14:paraId="797A4B15" w14:textId="77777777" w:rsidR="001E384C" w:rsidRDefault="00000000">
            <w:pPr>
              <w:jc w:val="center"/>
            </w:pPr>
            <w:r>
              <w:rPr>
                <w:rFonts w:ascii="Palatino Linotype" w:eastAsia="Palatino Linotype" w:hAnsi="Palatino Linotype" w:cs="Palatino Linotype"/>
                <w:color w:val="1A1A2E"/>
                <w:sz w:val="22"/>
                <w:szCs w:val="22"/>
              </w:rPr>
              <w:t>30</w:t>
            </w:r>
          </w:p>
        </w:tc>
      </w:tr>
      <w:tr w:rsidR="001E384C" w14:paraId="2ACCF8DE" w14:textId="77777777">
        <w:tc>
          <w:tcPr>
            <w:tcW w:w="6000" w:type="dxa"/>
            <w:tcBorders>
              <w:top w:val="single" w:sz="1" w:space="0" w:color="D0D9EC"/>
              <w:left w:val="single" w:sz="1" w:space="0" w:color="D0D9EC"/>
              <w:bottom w:val="single" w:sz="1" w:space="0" w:color="D0D9EC"/>
              <w:right w:val="single" w:sz="1" w:space="0" w:color="D0D9EC"/>
            </w:tcBorders>
            <w:shd w:val="clear" w:color="auto" w:fill="EAF2ED"/>
            <w:tcMar>
              <w:top w:w="80" w:type="dxa"/>
              <w:left w:w="160" w:type="dxa"/>
              <w:bottom w:w="80" w:type="dxa"/>
              <w:right w:w="120" w:type="dxa"/>
            </w:tcMar>
          </w:tcPr>
          <w:p w14:paraId="721A9182" w14:textId="77777777" w:rsidR="001E384C" w:rsidRDefault="00000000">
            <w:r>
              <w:rPr>
                <w:rFonts w:ascii="Palatino Linotype" w:eastAsia="Palatino Linotype" w:hAnsi="Palatino Linotype" w:cs="Palatino Linotype"/>
                <w:color w:val="1A1A2E"/>
                <w:sz w:val="22"/>
                <w:szCs w:val="22"/>
              </w:rPr>
              <w:t>d.  School capstone presentation file</w:t>
            </w:r>
          </w:p>
        </w:tc>
        <w:tc>
          <w:tcPr>
            <w:tcW w:w="3360" w:type="dxa"/>
            <w:tcBorders>
              <w:top w:val="single" w:sz="1" w:space="0" w:color="D0D9EC"/>
              <w:left w:val="single" w:sz="1" w:space="0" w:color="D0D9EC"/>
              <w:bottom w:val="single" w:sz="1" w:space="0" w:color="D0D9EC"/>
              <w:right w:val="single" w:sz="1" w:space="0" w:color="D0D9EC"/>
            </w:tcBorders>
            <w:shd w:val="clear" w:color="auto" w:fill="EAF2ED"/>
            <w:tcMar>
              <w:top w:w="80" w:type="dxa"/>
              <w:left w:w="160" w:type="dxa"/>
              <w:bottom w:w="80" w:type="dxa"/>
              <w:right w:w="120" w:type="dxa"/>
            </w:tcMar>
            <w:vAlign w:val="center"/>
          </w:tcPr>
          <w:p w14:paraId="004D268F" w14:textId="77777777" w:rsidR="001E384C" w:rsidRDefault="00000000">
            <w:pPr>
              <w:jc w:val="center"/>
            </w:pPr>
            <w:r>
              <w:rPr>
                <w:rFonts w:ascii="Palatino Linotype" w:eastAsia="Palatino Linotype" w:hAnsi="Palatino Linotype" w:cs="Palatino Linotype"/>
                <w:color w:val="1A1A2E"/>
                <w:sz w:val="22"/>
                <w:szCs w:val="22"/>
              </w:rPr>
              <w:t>School-graded</w:t>
            </w:r>
          </w:p>
        </w:tc>
      </w:tr>
      <w:tr w:rsidR="001E384C" w14:paraId="5BC97172" w14:textId="77777777">
        <w:tc>
          <w:tcPr>
            <w:tcW w:w="600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tcPr>
          <w:p w14:paraId="147429FB" w14:textId="77777777" w:rsidR="001E384C" w:rsidRDefault="00000000">
            <w:r>
              <w:rPr>
                <w:rFonts w:ascii="Palatino Linotype" w:eastAsia="Palatino Linotype" w:hAnsi="Palatino Linotype" w:cs="Palatino Linotype"/>
                <w:color w:val="1A1A2E"/>
                <w:sz w:val="22"/>
                <w:szCs w:val="22"/>
              </w:rPr>
              <w:t>e.  Copy of school capstone grade protocol</w:t>
            </w:r>
          </w:p>
        </w:tc>
        <w:tc>
          <w:tcPr>
            <w:tcW w:w="3360" w:type="dxa"/>
            <w:tcBorders>
              <w:top w:val="single" w:sz="1" w:space="0" w:color="D0D9EC"/>
              <w:left w:val="single" w:sz="1" w:space="0" w:color="D0D9EC"/>
              <w:bottom w:val="single" w:sz="1" w:space="0" w:color="D0D9EC"/>
              <w:right w:val="single" w:sz="1" w:space="0" w:color="D0D9EC"/>
            </w:tcBorders>
            <w:shd w:val="clear" w:color="auto" w:fill="FFFFFF"/>
            <w:tcMar>
              <w:top w:w="80" w:type="dxa"/>
              <w:left w:w="160" w:type="dxa"/>
              <w:bottom w:w="80" w:type="dxa"/>
              <w:right w:w="120" w:type="dxa"/>
            </w:tcMar>
            <w:vAlign w:val="center"/>
          </w:tcPr>
          <w:p w14:paraId="477B2F11" w14:textId="77777777" w:rsidR="001E384C" w:rsidRDefault="00000000">
            <w:pPr>
              <w:jc w:val="center"/>
            </w:pPr>
            <w:r>
              <w:rPr>
                <w:rFonts w:ascii="Palatino Linotype" w:eastAsia="Palatino Linotype" w:hAnsi="Palatino Linotype" w:cs="Palatino Linotype"/>
                <w:color w:val="1A1A2E"/>
                <w:sz w:val="22"/>
                <w:szCs w:val="22"/>
              </w:rPr>
              <w:t>—</w:t>
            </w:r>
          </w:p>
        </w:tc>
      </w:tr>
    </w:tbl>
    <w:p w14:paraId="5A120D30" w14:textId="77777777" w:rsidR="001E384C" w:rsidRDefault="001E384C">
      <w:pPr>
        <w:spacing w:before="80" w:line="360" w:lineRule="auto"/>
      </w:pPr>
    </w:p>
    <w:p w14:paraId="0190BE10"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The evaluation of the internship report as well as the honors sections of the capstone projects will be evaluated on a pass-fail basis, giving students the chance to submit a maximum of three drafts.</w:t>
      </w:r>
    </w:p>
    <w:p w14:paraId="28D81433" w14:textId="77777777" w:rsidR="001E384C" w:rsidRDefault="001E384C">
      <w:pPr>
        <w:spacing w:before="120" w:line="360" w:lineRule="auto"/>
      </w:pPr>
    </w:p>
    <w:p w14:paraId="048BBEB3"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a.  Capstone Proposal</w:t>
      </w:r>
    </w:p>
    <w:p w14:paraId="001F93AA"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At the beginning of their capstone experience, students in the UHP must write a formal overview of their project, outlining specifically in 750–1000 words how they will address the honors requirements. Students should submit these statements along with the capstone proposal form (Appendix) to the UHP Coordinator before the last day of the third week of the term in which they are taking their capstone course. These statements will then be reviewed and approved by the UHP committee in consultation with the capstone course professor. Please note that these overviews are intended to address the honors requirements; they do not take the place of formal proposals that may be required by the individual schools.</w:t>
      </w:r>
    </w:p>
    <w:p w14:paraId="5670862F" w14:textId="77777777" w:rsidR="001E384C" w:rsidRDefault="001E384C">
      <w:pPr>
        <w:spacing w:before="120" w:line="360" w:lineRule="auto"/>
      </w:pPr>
    </w:p>
    <w:p w14:paraId="35D89BB8"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b.  Capstone Paper with Honors Components</w:t>
      </w:r>
    </w:p>
    <w:p w14:paraId="51DABBD5"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lastRenderedPageBreak/>
        <w:t>The honors capstone has two additional parts compared to a non-honors capstone. Quantitatively, taken together they should represent additional work of approximately 10% of the project’s overall content (for example, if the paper is 80 pages, the honors part should be minimum 8 pages). These two requirements are different based on the capstone requirements of each School and major.</w:t>
      </w:r>
    </w:p>
    <w:p w14:paraId="4F64B9FD" w14:textId="77777777" w:rsidR="001E384C" w:rsidRDefault="001E384C">
      <w:pPr>
        <w:spacing w:before="160" w:line="360" w:lineRule="auto"/>
      </w:pPr>
    </w:p>
    <w:p w14:paraId="663FF00E" w14:textId="77777777" w:rsidR="001E384C" w:rsidRDefault="00000000">
      <w:pPr>
        <w:pBdr>
          <w:bottom w:val="single" w:sz="4" w:space="2" w:color="4A7C59"/>
        </w:pBdr>
        <w:spacing w:before="240" w:after="80" w:line="360" w:lineRule="auto"/>
      </w:pPr>
      <w:r>
        <w:rPr>
          <w:rFonts w:ascii="Palatino Linotype" w:eastAsia="Palatino Linotype" w:hAnsi="Palatino Linotype" w:cs="Palatino Linotype"/>
          <w:b/>
          <w:bCs/>
          <w:color w:val="1A3D2B"/>
          <w:sz w:val="24"/>
          <w:szCs w:val="24"/>
        </w:rPr>
        <w:t>Honors Components of Capstone Projects</w:t>
      </w:r>
    </w:p>
    <w:p w14:paraId="3DE93E6D"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Since the different Schools and majors have different requirements and tracks for capstone projects, the Honors component requirements are dependent on that. The two requirements broadly are:</w:t>
      </w:r>
    </w:p>
    <w:p w14:paraId="380CA04F" w14:textId="77777777" w:rsidR="001E384C" w:rsidRDefault="001E384C">
      <w:pPr>
        <w:spacing w:before="60" w:line="360" w:lineRule="auto"/>
      </w:pPr>
    </w:p>
    <w:p w14:paraId="576EBFD4" w14:textId="77777777" w:rsidR="001E384C" w:rsidRDefault="00000000">
      <w:pPr>
        <w:spacing w:after="100" w:line="360" w:lineRule="auto"/>
        <w:ind w:left="720" w:hanging="360"/>
      </w:pPr>
      <w:r>
        <w:rPr>
          <w:rFonts w:ascii="Palatino Linotype" w:eastAsia="Palatino Linotype" w:hAnsi="Palatino Linotype" w:cs="Palatino Linotype"/>
          <w:color w:val="1A1A2E"/>
          <w:sz w:val="22"/>
          <w:szCs w:val="22"/>
        </w:rPr>
        <w:t>1.  Research and/or interdisciplinary research</w:t>
      </w:r>
    </w:p>
    <w:p w14:paraId="4EC20CA5" w14:textId="77777777" w:rsidR="001E384C" w:rsidRDefault="00000000">
      <w:pPr>
        <w:spacing w:after="100" w:line="360" w:lineRule="auto"/>
        <w:ind w:left="720" w:hanging="360"/>
      </w:pPr>
      <w:r>
        <w:rPr>
          <w:rFonts w:ascii="Palatino Linotype" w:eastAsia="Palatino Linotype" w:hAnsi="Palatino Linotype" w:cs="Palatino Linotype"/>
          <w:color w:val="1A1A2E"/>
          <w:sz w:val="22"/>
          <w:szCs w:val="22"/>
        </w:rPr>
        <w:t>2.  Address ethical issues relevant to the topic</w:t>
      </w:r>
    </w:p>
    <w:p w14:paraId="056BED9D" w14:textId="77777777" w:rsidR="001E384C" w:rsidRDefault="001E384C">
      <w:pPr>
        <w:spacing w:before="80" w:line="360" w:lineRule="auto"/>
      </w:pPr>
    </w:p>
    <w:p w14:paraId="18874115"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For capstones that have no requirement of research from the respective School, the Honors requirement is to have a research component. For capstones that already require a research component from the School, the Honors requirement is to have an interdisciplinary research component. This is further explained below for each major.</w:t>
      </w:r>
    </w:p>
    <w:p w14:paraId="17D87A14" w14:textId="77777777" w:rsidR="001E384C" w:rsidRDefault="001E384C">
      <w:pPr>
        <w:spacing w:before="160" w:line="360" w:lineRule="auto"/>
      </w:pPr>
    </w:p>
    <w:p w14:paraId="66D014A0"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School of Business Administration</w:t>
      </w:r>
    </w:p>
    <w:p w14:paraId="57B42347"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All capstones currently in SBA require that the students do a business analysis of a given existing company, and propose a corporate strategy that focuses on innovation, ethical decision-making, and job creation. As such, the capstone doesn’t require research beyond understanding the company’s current performance and competitiveness in its sector. The Honors requirement here would be a research component, where the student undertakes a detailed research of one or more aspects of this industry/sector and the challenges faced in this sector because of economy, technology, environmental issues, and/or social issues, and how the proposed corporate strategy relates to that. This would require research beyond the usual market segmenting research or research of the company’s documents and/or common trade magazines/journals.</w:t>
      </w:r>
    </w:p>
    <w:p w14:paraId="34BA3CE0" w14:textId="77777777" w:rsidR="001E384C" w:rsidRDefault="001E384C">
      <w:pPr>
        <w:spacing w:before="160" w:line="360" w:lineRule="auto"/>
      </w:pPr>
    </w:p>
    <w:p w14:paraId="67BE2E4C"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lastRenderedPageBreak/>
        <w:t>School of Humanities and Social Sciences</w:t>
      </w:r>
    </w:p>
    <w:p w14:paraId="0602FA0C" w14:textId="77777777" w:rsidR="001E384C" w:rsidRDefault="00000000">
      <w:pPr>
        <w:spacing w:after="120" w:line="360" w:lineRule="auto"/>
        <w:jc w:val="both"/>
      </w:pPr>
      <w:r>
        <w:rPr>
          <w:rFonts w:ascii="Palatino Linotype" w:eastAsia="Palatino Linotype" w:hAnsi="Palatino Linotype" w:cs="Palatino Linotype"/>
          <w:b/>
          <w:bCs/>
          <w:color w:val="1A1A2E"/>
          <w:sz w:val="22"/>
          <w:szCs w:val="22"/>
          <w:u w:val="single"/>
        </w:rPr>
        <w:t xml:space="preserve">Human Resources Development Major: </w:t>
      </w:r>
    </w:p>
    <w:p w14:paraId="3B3F4912"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Currently, most capstones in this major undertake an examination of some HR issue — either at an organizational level, or at social/national level. The nature of this study necessitates a certain amount of research within this discipline to achieve this objective for the major. The Honors requirement in this case would be to undertake research in at least one discipline outside HR in connection with the issue under study.</w:t>
      </w:r>
    </w:p>
    <w:p w14:paraId="05E2FF8D" w14:textId="77777777" w:rsidR="001E384C" w:rsidRDefault="001E384C">
      <w:pPr>
        <w:spacing w:before="60" w:line="360" w:lineRule="auto"/>
      </w:pPr>
    </w:p>
    <w:p w14:paraId="707266B0" w14:textId="77777777" w:rsidR="001E384C" w:rsidRDefault="00000000">
      <w:pPr>
        <w:spacing w:after="120" w:line="360" w:lineRule="auto"/>
        <w:jc w:val="both"/>
      </w:pPr>
      <w:r>
        <w:rPr>
          <w:rFonts w:ascii="Palatino Linotype" w:eastAsia="Palatino Linotype" w:hAnsi="Palatino Linotype" w:cs="Palatino Linotype"/>
          <w:b/>
          <w:bCs/>
          <w:color w:val="1A1A2E"/>
          <w:sz w:val="22"/>
          <w:szCs w:val="22"/>
          <w:u w:val="single"/>
        </w:rPr>
        <w:t xml:space="preserve">International Studies Major: </w:t>
      </w:r>
    </w:p>
    <w:p w14:paraId="6FDA5D0E"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All current capstones in this major involve tackling an issue of national or international scope and addressed using various international relations or political science theories. The Honors requirement in this case would be to undertake research in at least one discipline outside IS in connection with the issue under study.</w:t>
      </w:r>
    </w:p>
    <w:p w14:paraId="2730CA50" w14:textId="77777777" w:rsidR="001E384C" w:rsidRDefault="001E384C">
      <w:pPr>
        <w:spacing w:before="60" w:line="360" w:lineRule="auto"/>
      </w:pPr>
    </w:p>
    <w:p w14:paraId="15CE2C04" w14:textId="77777777" w:rsidR="001E384C" w:rsidRDefault="00000000">
      <w:pPr>
        <w:spacing w:after="120" w:line="360" w:lineRule="auto"/>
        <w:jc w:val="both"/>
      </w:pPr>
      <w:r>
        <w:rPr>
          <w:rFonts w:ascii="Palatino Linotype" w:eastAsia="Palatino Linotype" w:hAnsi="Palatino Linotype" w:cs="Palatino Linotype"/>
          <w:b/>
          <w:bCs/>
          <w:color w:val="1A1A2E"/>
          <w:sz w:val="22"/>
          <w:szCs w:val="22"/>
          <w:u w:val="single"/>
        </w:rPr>
        <w:t xml:space="preserve">Communications Major: </w:t>
      </w:r>
    </w:p>
    <w:p w14:paraId="217B5DD6"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This major currently allows for two tracks in the capstone: creative or research-based. In the creative track, the student produces a documentary or branding elements for an organization. The Honors requirement can be satisfied by undertaking a research study of something related to the creative project. In the research track, the Honors requirement can be met by undertaking a literature review of an issue pertinent to the main study but examined from a discipline outside communications.</w:t>
      </w:r>
    </w:p>
    <w:p w14:paraId="14CBA00E" w14:textId="77777777" w:rsidR="001E384C" w:rsidRDefault="001E384C">
      <w:pPr>
        <w:spacing w:before="160" w:line="360" w:lineRule="auto"/>
      </w:pPr>
    </w:p>
    <w:p w14:paraId="62C7ED3C"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School of Sciences and Engineering</w:t>
      </w:r>
    </w:p>
    <w:p w14:paraId="2AE500D2" w14:textId="77777777" w:rsidR="001E384C" w:rsidRDefault="00000000">
      <w:pPr>
        <w:spacing w:after="120" w:line="360" w:lineRule="auto"/>
        <w:jc w:val="both"/>
      </w:pPr>
      <w:r>
        <w:rPr>
          <w:rFonts w:ascii="Palatino Linotype" w:eastAsia="Palatino Linotype" w:hAnsi="Palatino Linotype" w:cs="Palatino Linotype"/>
          <w:b/>
          <w:bCs/>
          <w:color w:val="1A1A2E"/>
          <w:sz w:val="22"/>
          <w:szCs w:val="22"/>
          <w:u w:val="single"/>
        </w:rPr>
        <w:t xml:space="preserve">Computer Science Major: </w:t>
      </w:r>
    </w:p>
    <w:p w14:paraId="2E5D52F4"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This major requires a project where the student demonstrates understanding and mastery of main elements of a computer science project. The Honors requirement entails a project where research in CS is an important piece of the project, or a capstone project that is research-based in its essence.</w:t>
      </w:r>
    </w:p>
    <w:p w14:paraId="4D442C3D" w14:textId="77777777" w:rsidR="001E384C" w:rsidRDefault="001E384C">
      <w:pPr>
        <w:spacing w:before="60" w:line="360" w:lineRule="auto"/>
      </w:pPr>
    </w:p>
    <w:p w14:paraId="4B61F295" w14:textId="77777777" w:rsidR="001E384C" w:rsidRDefault="00000000">
      <w:pPr>
        <w:spacing w:after="120" w:line="360" w:lineRule="auto"/>
        <w:jc w:val="both"/>
      </w:pPr>
      <w:r>
        <w:rPr>
          <w:rFonts w:ascii="Palatino Linotype" w:eastAsia="Palatino Linotype" w:hAnsi="Palatino Linotype" w:cs="Palatino Linotype"/>
          <w:b/>
          <w:bCs/>
          <w:color w:val="1A1A2E"/>
          <w:sz w:val="22"/>
          <w:szCs w:val="22"/>
          <w:u w:val="single"/>
        </w:rPr>
        <w:t xml:space="preserve">General Engineering and Engineering Management Science Majors: </w:t>
      </w:r>
    </w:p>
    <w:p w14:paraId="07A4107B"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lastRenderedPageBreak/>
        <w:t>In these two majors, the capstone requires a project where the student goes through main elements of engineering design. The Honors requirement can be satisfied if the student undertakes serious literature review and research of an issue related to the matter at hand, which goes beyond the level of knowledge taught in courses in the major. The requirement can also be satisfied by undertaking a capstone project that is research-based in its essence.</w:t>
      </w:r>
    </w:p>
    <w:p w14:paraId="3C18E3B3" w14:textId="77777777" w:rsidR="001E384C" w:rsidRDefault="001E384C">
      <w:pPr>
        <w:spacing w:before="160" w:line="360" w:lineRule="auto"/>
      </w:pPr>
    </w:p>
    <w:p w14:paraId="21E41987"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Ethics Component</w:t>
      </w:r>
    </w:p>
    <w:p w14:paraId="46B41F2B"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This component consists of two parts: theory and ethics of the capstone project’s outcome. In the first part, students write a comparative analysis of normative ethical standards, demonstrating their deeper understanding of ethics as a concept. In the second part, students analyze the outcome of their capstone project by answering questions such as: How does the outcome of my project affect different social groups? What are its possible ethical drawbacks?</w:t>
      </w:r>
    </w:p>
    <w:p w14:paraId="071C8745" w14:textId="77777777" w:rsidR="001E384C" w:rsidRDefault="001E384C">
      <w:pPr>
        <w:spacing w:before="160" w:line="360" w:lineRule="auto"/>
      </w:pPr>
    </w:p>
    <w:p w14:paraId="6C7E22F4"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Combined Internship and Capstone Requirements</w:t>
      </w:r>
    </w:p>
    <w:p w14:paraId="3E0FD005"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Currently only SSE offers this as an option. The requirements of the Honors capstone would subsume the internship Honors requirement here. Since the combined option is exercised by doing a 4-month or longer internship at a company, it is the student’s responsibility to choose the company and a project there that would enable the student to meet the capstone Honors requirement.</w:t>
      </w:r>
    </w:p>
    <w:p w14:paraId="7FAC2083" w14:textId="77777777" w:rsidR="001E384C" w:rsidRDefault="001E384C">
      <w:pPr>
        <w:spacing w:before="160" w:line="360" w:lineRule="auto"/>
      </w:pPr>
    </w:p>
    <w:p w14:paraId="0968337C" w14:textId="77777777" w:rsidR="001E384C" w:rsidRDefault="00000000">
      <w:pPr>
        <w:spacing w:before="200" w:after="60" w:line="360" w:lineRule="auto"/>
      </w:pPr>
      <w:r>
        <w:rPr>
          <w:rFonts w:ascii="Palatino Linotype" w:eastAsia="Palatino Linotype" w:hAnsi="Palatino Linotype" w:cs="Palatino Linotype"/>
          <w:b/>
          <w:bCs/>
          <w:i/>
          <w:iCs/>
          <w:color w:val="2D6A4F"/>
          <w:sz w:val="22"/>
          <w:szCs w:val="22"/>
        </w:rPr>
        <w:t>Combined Bachelor’s and Master’s Capstone Requirements</w:t>
      </w:r>
    </w:p>
    <w:p w14:paraId="7D8BD31E"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Students in joint bachelor’s/master’s programs, for whom the master’s thesis or project would normally supersede the undergraduate capstone requirement, may use their master’s thesis or project to complete the capstone requirement of the UHP. In doing so, however, they must meet the UHP criteria of research, interdisciplinary approach, and exploration of ethical issues. They must also submit a formal statement to the UHP committee, just as students completing an Honors capstone project must do.</w:t>
      </w:r>
    </w:p>
    <w:p w14:paraId="782F1324" w14:textId="77777777" w:rsidR="001E384C" w:rsidRDefault="00000000">
      <w:r>
        <w:br w:type="page"/>
      </w:r>
    </w:p>
    <w:p w14:paraId="40FE45D6" w14:textId="77777777" w:rsidR="001E384C" w:rsidRDefault="00000000">
      <w:pPr>
        <w:pBdr>
          <w:bottom w:val="single" w:sz="8" w:space="0" w:color="4A7C59"/>
        </w:pBdr>
        <w:shd w:val="clear" w:color="auto" w:fill="1A3D2B"/>
        <w:spacing w:before="280" w:after="60" w:line="360" w:lineRule="auto"/>
      </w:pPr>
      <w:r>
        <w:rPr>
          <w:rFonts w:ascii="Palatino Linotype" w:eastAsia="Palatino Linotype" w:hAnsi="Palatino Linotype" w:cs="Palatino Linotype"/>
          <w:b/>
          <w:bCs/>
          <w:caps/>
          <w:color w:val="FFFFFF"/>
          <w:spacing w:val="40"/>
          <w:sz w:val="26"/>
          <w:szCs w:val="26"/>
        </w:rPr>
        <w:lastRenderedPageBreak/>
        <w:t>VI.  Appendix: Relevant Forms</w:t>
      </w:r>
    </w:p>
    <w:p w14:paraId="75CA0306" w14:textId="77777777" w:rsidR="001E384C" w:rsidRDefault="001E384C">
      <w:pPr>
        <w:spacing w:before="120" w:line="360" w:lineRule="auto"/>
      </w:pPr>
    </w:p>
    <w:p w14:paraId="61E2E6AD" w14:textId="77777777" w:rsidR="001E384C" w:rsidRDefault="00000000">
      <w:pPr>
        <w:spacing w:after="120" w:line="360" w:lineRule="auto"/>
        <w:jc w:val="both"/>
      </w:pPr>
      <w:r>
        <w:rPr>
          <w:rFonts w:ascii="Palatino Linotype" w:eastAsia="Palatino Linotype" w:hAnsi="Palatino Linotype" w:cs="Palatino Linotype"/>
          <w:color w:val="1A1A2E"/>
          <w:sz w:val="22"/>
          <w:szCs w:val="22"/>
        </w:rPr>
        <w:t>All relevant application and proposal forms that a student will need are accessible through the QR code below. Please note that these forms are subject to change; it is the responsibility of the student to ensure that only the most up-to-date form is submitted.</w:t>
      </w:r>
    </w:p>
    <w:p w14:paraId="58B87175" w14:textId="77777777" w:rsidR="001E384C" w:rsidRDefault="001E384C">
      <w:pPr>
        <w:spacing w:before="200" w:line="360" w:lineRule="auto"/>
      </w:pPr>
    </w:p>
    <w:p w14:paraId="36E583F3" w14:textId="77777777" w:rsidR="001E384C" w:rsidRDefault="00000000">
      <w:pPr>
        <w:spacing w:line="360" w:lineRule="auto"/>
        <w:jc w:val="center"/>
      </w:pPr>
      <w:r>
        <w:rPr>
          <w:noProof/>
        </w:rPr>
        <w:drawing>
          <wp:inline distT="0" distB="0" distL="0" distR="0" wp14:anchorId="3737F804" wp14:editId="793288BE">
            <wp:extent cx="1714500" cy="1714500"/>
            <wp:effectExtent l="0" t="0" r="0" b="0"/>
            <wp:docPr id="1968429084" name="QRCode" descr="QR Code for UHP forms" title="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14500" cy="1714500"/>
                    </a:xfrm>
                    <a:prstGeom prst="rect">
                      <a:avLst/>
                    </a:prstGeom>
                  </pic:spPr>
                </pic:pic>
              </a:graphicData>
            </a:graphic>
          </wp:inline>
        </w:drawing>
      </w:r>
    </w:p>
    <w:p w14:paraId="1E03D114" w14:textId="77777777" w:rsidR="001E384C" w:rsidRDefault="00000000">
      <w:pPr>
        <w:spacing w:before="80" w:line="360" w:lineRule="auto"/>
        <w:jc w:val="center"/>
      </w:pPr>
      <w:r>
        <w:rPr>
          <w:rFonts w:ascii="Palatino Linotype" w:eastAsia="Palatino Linotype" w:hAnsi="Palatino Linotype" w:cs="Palatino Linotype"/>
          <w:i/>
          <w:iCs/>
          <w:color w:val="4A5568"/>
        </w:rPr>
        <w:t>Scan to access all UHP forms</w:t>
      </w:r>
    </w:p>
    <w:sectPr w:rsidR="001E384C">
      <w:headerReference w:type="default" r:id="rId9"/>
      <w:footerReference w:type="defaul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B75F" w14:textId="77777777" w:rsidR="00BF7A52" w:rsidRDefault="00BF7A52">
      <w:r>
        <w:separator/>
      </w:r>
    </w:p>
  </w:endnote>
  <w:endnote w:type="continuationSeparator" w:id="0">
    <w:p w14:paraId="7645DA33" w14:textId="77777777" w:rsidR="00BF7A52" w:rsidRDefault="00BF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panose1 w:val="00000000000000000000"/>
    <w:charset w:val="4D"/>
    <w:family w:val="auto"/>
    <w:pitch w:val="variable"/>
    <w:sig w:usb0="A00002FF" w:usb1="7800205A" w:usb2="14600000" w:usb3="00000000" w:csb0="00000193" w:csb1="00000000"/>
  </w:font>
  <w:font w:name="Plantagenet Cherokee">
    <w:panose1 w:val="02020000000000000000"/>
    <w:charset w:val="B1"/>
    <w:family w:val="roman"/>
    <w:pitch w:val="variable"/>
    <w:sig w:usb0="80000803" w:usb1="00000000" w:usb2="00001000" w:usb3="00000000" w:csb0="000001F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1899" w14:textId="77777777" w:rsidR="001E384C" w:rsidRDefault="00000000">
    <w:pPr>
      <w:pBdr>
        <w:top w:val="single" w:sz="4" w:space="2" w:color="4A7C59"/>
      </w:pBdr>
      <w:tabs>
        <w:tab w:val="right" w:pos="9026"/>
      </w:tabs>
      <w:spacing w:line="360" w:lineRule="auto"/>
    </w:pPr>
    <w:r>
      <w:rPr>
        <w:rFonts w:ascii="Palatino Linotype" w:eastAsia="Palatino Linotype" w:hAnsi="Palatino Linotype" w:cs="Palatino Linotype"/>
        <w:color w:val="4A5568"/>
        <w:sz w:val="18"/>
        <w:szCs w:val="18"/>
      </w:rPr>
      <w:t>Al Akhawayn University in Ifrane</w:t>
    </w:r>
    <w:r>
      <w:rPr>
        <w:rFonts w:ascii="Palatino Linotype" w:eastAsia="Palatino Linotype" w:hAnsi="Palatino Linotype" w:cs="Palatino Linotype"/>
        <w:color w:val="4A5568"/>
        <w:sz w:val="18"/>
        <w:szCs w:val="18"/>
      </w:rPr>
      <w:tab/>
      <w:t xml:space="preserve">Page </w:t>
    </w:r>
    <w:r>
      <w:rPr>
        <w:rFonts w:ascii="Palatino Linotype" w:eastAsia="Palatino Linotype" w:hAnsi="Palatino Linotype" w:cs="Palatino Linotype"/>
        <w:color w:val="1A3D2B"/>
        <w:sz w:val="18"/>
        <w:szCs w:val="18"/>
      </w:rPr>
      <w:fldChar w:fldCharType="begin"/>
    </w:r>
    <w:r>
      <w:rPr>
        <w:rFonts w:ascii="Palatino Linotype" w:eastAsia="Palatino Linotype" w:hAnsi="Palatino Linotype" w:cs="Palatino Linotype"/>
        <w:color w:val="1A3D2B"/>
        <w:sz w:val="18"/>
        <w:szCs w:val="18"/>
      </w:rPr>
      <w:instrText>PAGE</w:instrText>
    </w:r>
    <w:r>
      <w:rPr>
        <w:rFonts w:ascii="Palatino Linotype" w:eastAsia="Palatino Linotype" w:hAnsi="Palatino Linotype" w:cs="Palatino Linotype"/>
        <w:color w:val="1A3D2B"/>
        <w:sz w:val="18"/>
        <w:szCs w:val="18"/>
      </w:rPr>
      <w:fldChar w:fldCharType="separate"/>
    </w:r>
    <w:r w:rsidR="00255BB7">
      <w:rPr>
        <w:rFonts w:ascii="Palatino Linotype" w:eastAsia="Palatino Linotype" w:hAnsi="Palatino Linotype" w:cs="Palatino Linotype"/>
        <w:noProof/>
        <w:color w:val="1A3D2B"/>
        <w:sz w:val="18"/>
        <w:szCs w:val="18"/>
      </w:rPr>
      <w:t>2</w:t>
    </w:r>
    <w:r>
      <w:rPr>
        <w:rFonts w:ascii="Palatino Linotype" w:eastAsia="Palatino Linotype" w:hAnsi="Palatino Linotype" w:cs="Palatino Linotype"/>
        <w:color w:val="1A3D2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95CC" w14:textId="77777777" w:rsidR="00BF7A52" w:rsidRDefault="00BF7A52">
      <w:r>
        <w:separator/>
      </w:r>
    </w:p>
  </w:footnote>
  <w:footnote w:type="continuationSeparator" w:id="0">
    <w:p w14:paraId="731BD8D6" w14:textId="77777777" w:rsidR="00BF7A52" w:rsidRDefault="00BF7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CB64" w14:textId="77777777" w:rsidR="001E384C" w:rsidRDefault="00000000">
    <w:pPr>
      <w:pBdr>
        <w:bottom w:val="single" w:sz="6" w:space="2" w:color="1A3D2B"/>
      </w:pBdr>
      <w:tabs>
        <w:tab w:val="right" w:pos="9026"/>
      </w:tabs>
      <w:spacing w:line="360" w:lineRule="auto"/>
    </w:pPr>
    <w:r>
      <w:rPr>
        <w:rFonts w:ascii="Palatino Linotype" w:eastAsia="Palatino Linotype" w:hAnsi="Palatino Linotype" w:cs="Palatino Linotype"/>
        <w:b/>
        <w:bCs/>
        <w:color w:val="1A3D2B"/>
        <w:sz w:val="18"/>
        <w:szCs w:val="18"/>
      </w:rPr>
      <w:t>University Honors Program</w:t>
    </w:r>
    <w:r>
      <w:rPr>
        <w:rFonts w:ascii="Palatino Linotype" w:eastAsia="Palatino Linotype" w:hAnsi="Palatino Linotype" w:cs="Palatino Linotype"/>
        <w:color w:val="4A5568"/>
        <w:sz w:val="18"/>
        <w:szCs w:val="18"/>
      </w:rPr>
      <w:tab/>
      <w:t>Handbook of Policies and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179A"/>
    <w:multiLevelType w:val="hybridMultilevel"/>
    <w:tmpl w:val="4D52C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60C94"/>
    <w:multiLevelType w:val="hybridMultilevel"/>
    <w:tmpl w:val="6BF2B3F4"/>
    <w:lvl w:ilvl="0" w:tplc="407C36F6">
      <w:start w:val="1"/>
      <w:numFmt w:val="bullet"/>
      <w:lvlText w:val="●"/>
      <w:lvlJc w:val="left"/>
      <w:pPr>
        <w:ind w:left="720" w:hanging="360"/>
      </w:pPr>
    </w:lvl>
    <w:lvl w:ilvl="1" w:tplc="0C4E4740">
      <w:start w:val="1"/>
      <w:numFmt w:val="bullet"/>
      <w:lvlText w:val="○"/>
      <w:lvlJc w:val="left"/>
      <w:pPr>
        <w:ind w:left="1440" w:hanging="360"/>
      </w:pPr>
    </w:lvl>
    <w:lvl w:ilvl="2" w:tplc="B3BCD576">
      <w:start w:val="1"/>
      <w:numFmt w:val="bullet"/>
      <w:lvlText w:val="■"/>
      <w:lvlJc w:val="left"/>
      <w:pPr>
        <w:ind w:left="2160" w:hanging="360"/>
      </w:pPr>
    </w:lvl>
    <w:lvl w:ilvl="3" w:tplc="AB1A73BE">
      <w:start w:val="1"/>
      <w:numFmt w:val="bullet"/>
      <w:lvlText w:val="●"/>
      <w:lvlJc w:val="left"/>
      <w:pPr>
        <w:ind w:left="2880" w:hanging="360"/>
      </w:pPr>
    </w:lvl>
    <w:lvl w:ilvl="4" w:tplc="B4C8F7C2">
      <w:start w:val="1"/>
      <w:numFmt w:val="bullet"/>
      <w:lvlText w:val="○"/>
      <w:lvlJc w:val="left"/>
      <w:pPr>
        <w:ind w:left="3600" w:hanging="360"/>
      </w:pPr>
    </w:lvl>
    <w:lvl w:ilvl="5" w:tplc="589A87AE">
      <w:start w:val="1"/>
      <w:numFmt w:val="bullet"/>
      <w:lvlText w:val="■"/>
      <w:lvlJc w:val="left"/>
      <w:pPr>
        <w:ind w:left="4320" w:hanging="360"/>
      </w:pPr>
    </w:lvl>
    <w:lvl w:ilvl="6" w:tplc="A410A4B6">
      <w:start w:val="1"/>
      <w:numFmt w:val="bullet"/>
      <w:lvlText w:val="●"/>
      <w:lvlJc w:val="left"/>
      <w:pPr>
        <w:ind w:left="5040" w:hanging="360"/>
      </w:pPr>
    </w:lvl>
    <w:lvl w:ilvl="7" w:tplc="6874BFFA">
      <w:start w:val="1"/>
      <w:numFmt w:val="bullet"/>
      <w:lvlText w:val="●"/>
      <w:lvlJc w:val="left"/>
      <w:pPr>
        <w:ind w:left="5760" w:hanging="360"/>
      </w:pPr>
    </w:lvl>
    <w:lvl w:ilvl="8" w:tplc="5846DC84">
      <w:start w:val="1"/>
      <w:numFmt w:val="bullet"/>
      <w:lvlText w:val="●"/>
      <w:lvlJc w:val="left"/>
      <w:pPr>
        <w:ind w:left="6480" w:hanging="360"/>
      </w:pPr>
    </w:lvl>
  </w:abstractNum>
  <w:num w:numId="1" w16cid:durableId="823742446">
    <w:abstractNumId w:val="1"/>
    <w:lvlOverride w:ilvl="0">
      <w:startOverride w:val="1"/>
    </w:lvlOverride>
  </w:num>
  <w:num w:numId="2" w16cid:durableId="188652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84C"/>
    <w:rsid w:val="000858A2"/>
    <w:rsid w:val="001A0385"/>
    <w:rsid w:val="001E384C"/>
    <w:rsid w:val="00255BB7"/>
    <w:rsid w:val="003E55A5"/>
    <w:rsid w:val="00484F60"/>
    <w:rsid w:val="005829A5"/>
    <w:rsid w:val="005C4A98"/>
    <w:rsid w:val="007027CA"/>
    <w:rsid w:val="00842328"/>
    <w:rsid w:val="00941F79"/>
    <w:rsid w:val="009454B3"/>
    <w:rsid w:val="009468AF"/>
    <w:rsid w:val="0096566E"/>
    <w:rsid w:val="00AA6ECD"/>
    <w:rsid w:val="00AB5EA1"/>
    <w:rsid w:val="00B467B8"/>
    <w:rsid w:val="00BF7A52"/>
    <w:rsid w:val="00C329F1"/>
    <w:rsid w:val="00D2293B"/>
    <w:rsid w:val="00DE157F"/>
    <w:rsid w:val="00EF3B25"/>
  </w:rsids>
  <m:mathPr>
    <m:mathFont m:val="Cambria Math"/>
    <m:brkBin m:val="before"/>
    <m:brkBinSub m:val="--"/>
    <m:smallFrac m:val="0"/>
    <m:dispDef/>
    <m:lMargin m:val="0"/>
    <m:rMargin m:val="0"/>
    <m:defJc m:val="centerGroup"/>
    <m:wrapIndent m:val="1440"/>
    <m:intLim m:val="subSup"/>
    <m:naryLim m:val="undOvr"/>
  </m:mathPr>
  <w:themeFontLang w:val="en-MA" w:bidi="ar-SA"/>
  <w:clrSchemeMapping w:bg1="light1" w:t1="dark1" w:bg2="light2" w:t2="dark2" w:accent1="accent1" w:accent2="accent2" w:accent3="accent3" w:accent4="accent4" w:accent5="accent5" w:accent6="accent6" w:hyperlink="hyperlink" w:followedHyperlink="followedHyperlink"/>
  <w:decimalSymbol w:val=","/>
  <w:listSeparator w:val=","/>
  <w14:docId w14:val="1FCC95F0"/>
  <w15:docId w15:val="{B34FE0F5-3C66-C142-816D-EDB7BC30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4476</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Aya Anzouk</cp:lastModifiedBy>
  <cp:revision>10</cp:revision>
  <dcterms:created xsi:type="dcterms:W3CDTF">2026-04-01T21:33:00Z</dcterms:created>
  <dcterms:modified xsi:type="dcterms:W3CDTF">2026-04-12T11:29:00Z</dcterms:modified>
</cp:coreProperties>
</file>